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 w:val="0"/>
          <w:i w:val="0"/>
          <w:sz w:val="26"/>
          <w:szCs w:val="26"/>
          <w:highlight w:val="none"/>
        </w:rPr>
      </w:pPr>
      <w:r>
        <w:rPr>
          <w:rFonts w:eastAsia="Calibri"/>
          <w:b/>
          <w:bCs w:val="0"/>
          <w:i w:val="0"/>
          <w:sz w:val="26"/>
          <w:szCs w:val="26"/>
          <w:highlight w:val="none"/>
        </w:rPr>
      </w:r>
      <w:r>
        <w:rPr>
          <w:rFonts w:eastAsia="Calibri"/>
          <w:b/>
          <w:bCs w:val="0"/>
          <w:i w:val="0"/>
          <w:sz w:val="26"/>
          <w:szCs w:val="26"/>
          <w:highlight w:val="none"/>
        </w:rPr>
        <w:t xml:space="preserve">ОКПД 2 42.12.20.150  Выполнение работ по ремонту железнодорожных путей Амурской ТЭЦ-1, г. Амурск</w:t>
      </w:r>
      <w:r>
        <w:rPr>
          <w:rFonts w:eastAsia="Calibri"/>
          <w:b/>
          <w:bCs w:val="0"/>
          <w:i w:val="0"/>
          <w:sz w:val="26"/>
          <w:szCs w:val="26"/>
          <w:highlight w:val="none"/>
        </w:rPr>
      </w:r>
      <w:r>
        <w:rPr>
          <w:rFonts w:eastAsia="Calibri"/>
          <w:b/>
          <w:bCs w:val="0"/>
          <w:i w:val="0"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i w:val="0"/>
          <w:iCs w:val="0"/>
          <w:sz w:val="26"/>
          <w:szCs w:val="26"/>
        </w:rPr>
      </w:pPr>
      <w:r>
        <w:rPr>
          <w:rFonts w:eastAsia="Calibri"/>
          <w:b/>
          <w:bCs/>
          <w:i w:val="0"/>
          <w:iCs w:val="0"/>
          <w:sz w:val="26"/>
          <w:szCs w:val="26"/>
          <w:highlight w:val="none"/>
        </w:rPr>
        <w:t xml:space="preserve"> </w:t>
      </w:r>
      <w:r>
        <w:rPr>
          <w:rFonts w:eastAsia="Calibri"/>
          <w:b/>
          <w:bCs/>
          <w:i w:val="0"/>
          <w:iCs w:val="0"/>
          <w:sz w:val="26"/>
          <w:szCs w:val="26"/>
        </w:rPr>
      </w:r>
      <w:r>
        <w:rPr>
          <w:rFonts w:eastAsia="Calibri"/>
          <w:b/>
          <w:bCs/>
          <w:i w:val="0"/>
          <w:iCs w:val="0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i w:val="0"/>
          <w:iCs w:val="0"/>
          <w:sz w:val="26"/>
          <w:szCs w:val="26"/>
          <w:highlight w:val="yellow"/>
        </w:rPr>
      </w:pPr>
      <w:r>
        <w:rPr>
          <w:rFonts w:eastAsia="Calibri"/>
          <w:b/>
          <w:bCs/>
          <w:i w:val="0"/>
          <w:iCs w:val="0"/>
          <w:sz w:val="26"/>
          <w:szCs w:val="26"/>
          <w:highlight w:val="yellow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6"/>
          <w:szCs w:val="26"/>
          <w:u w:val="none"/>
          <w:vertAlign w:val="baseline"/>
        </w:rPr>
        <w:t xml:space="preserve">11027006-РЕМ ПРОД-2026-ДГК-АмТЭЦ1</w:t>
      </w:r>
      <w:r>
        <w:rPr>
          <w:rFonts w:eastAsia="Calibri"/>
          <w:b/>
          <w:bCs/>
          <w:i w:val="0"/>
          <w:iCs w:val="0"/>
          <w:sz w:val="26"/>
          <w:szCs w:val="26"/>
          <w:highlight w:val="yellow"/>
        </w:rPr>
      </w:r>
      <w:r>
        <w:rPr>
          <w:rFonts w:eastAsia="Calibri"/>
          <w:b/>
          <w:bCs/>
          <w:i w:val="0"/>
          <w:iCs w:val="0"/>
          <w:sz w:val="26"/>
          <w:szCs w:val="26"/>
          <w:highlight w:val="yellow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br w:type="page" w:clear="all"/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065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</w:rPr>
        <w:fldChar w:fldCharType="separate"/>
      </w:r>
      <w:hyperlink w:tooltip="#_Toc54646395" w:anchor="_Toc54646395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 w:eastAsiaTheme="minorEastAsia"/>
            <w:b w:val="0"/>
            <w:bCs w:val="0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Общие сведения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_Toc54646395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7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396" w:anchor="_Toc54646396" w:history="1"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1.1.</w:t>
        </w:r>
        <w:r>
          <w:rPr>
            <w:rFonts w:ascii="Times New Roman" w:hAnsi="Times New Roman" w:eastAsia="Times New Roman" w:cs="Times New Roman" w:eastAsiaTheme="minorEastAsia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Обозначения и сокращения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_Toc54646396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397" w:anchor="_Toc54646397" w:history="1"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1.2.</w:t>
        </w:r>
        <w:r>
          <w:rPr>
            <w:rFonts w:ascii="Times New Roman" w:hAnsi="Times New Roman" w:eastAsia="Times New Roman" w:cs="Times New Roman" w:eastAsiaTheme="minorEastAsia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Наименование закупаемой продукции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_Toc54646397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398" w:anchor="_Toc54646398" w:history="1"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1.3.</w:t>
        </w:r>
        <w:r>
          <w:rPr>
            <w:rFonts w:ascii="Times New Roman" w:hAnsi="Times New Roman" w:eastAsia="Times New Roman" w:cs="Times New Roman" w:eastAsiaTheme="minorEastAsia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Цель выполнения работ 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_Toc54646398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ind w:firstLine="567"/>
        <w:tabs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0" w:anchor="_Toc54646400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Таблица 1. Перечень объектов заказчика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_Toc54646400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Информация в отношении исполнения договора, которая должна быть учтена при подготовке заявки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перечень ресурсов, услуг и документов, предоставляемых заказчико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 на этапе исполнения договора……………………………………………………   ……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1.4.1 Заказчик предоставит подрядчику:                                                                                     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tabs>
          <w:tab w:val="left" w:pos="560" w:leader="none"/>
          <w:tab w:val="right" w:pos="978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3" w:anchor="_Toc54646403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 w:eastAsiaTheme="minorEastAsia"/>
            <w:b w:val="0"/>
            <w:bCs w:val="0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Требования к продукции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7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4" w:anchor="_Toc54646404" w:history="1"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2.1.</w:t>
        </w:r>
        <w:r>
          <w:rPr>
            <w:rFonts w:ascii="Times New Roman" w:hAnsi="Times New Roman" w:eastAsia="Times New Roman" w:cs="Times New Roman" w:eastAsiaTheme="minorEastAsia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Требования к объемам и срокам выполнения работ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_Toc54646404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ind w:firstLine="567"/>
        <w:tabs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6" w:anchor="_Toc54646406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Таблица 2. Перечень и объем выполняемых работ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_Toc54646406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5"/>
        <w:ind w:firstLine="567"/>
        <w:tabs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8" w:anchor="_Toc54646408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Таблица 3. Требования по срокам выполнения работ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eastAsia="Times New Roman" w:cs="Times New Roman"/>
            <w:sz w:val="24"/>
            <w:szCs w:val="24"/>
          </w:rPr>
          <w:instrText xml:space="preserve"> PAGEREF _Toc54646408 \h </w:instrTex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5</w:t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7"/>
        <w:tabs>
          <w:tab w:val="left" w:pos="112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09" w:anchor="_Toc54646409" w:history="1">
        <w:r>
          <w:rPr>
            <w:rStyle w:val="1066"/>
            <w:rFonts w:ascii="Times New Roman" w:hAnsi="Times New Roman" w:eastAsia="Times New Roman" w:cs="Times New Roman"/>
            <w:iCs/>
            <w:sz w:val="24"/>
            <w:szCs w:val="24"/>
          </w:rPr>
          <w:t xml:space="preserve">2.2.</w:t>
        </w:r>
        <w:r>
          <w:rPr>
            <w:rFonts w:ascii="Times New Roman" w:hAnsi="Times New Roman" w:eastAsia="Times New Roman" w:cs="Times New Roman" w:eastAsiaTheme="minorEastAsia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Требования к качеству работ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  <w:t xml:space="preserve">6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ind w:firstLine="567"/>
        <w:tabs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10" w:anchor="_Toc54646410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Таблица 4. Требования к качеству работ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  <w:t xml:space="preserve">6</w:t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5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11" w:anchor="_Toc54646411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 w:eastAsiaTheme="minorEastAsia"/>
            <w:b w:val="0"/>
            <w:bCs w:val="0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Требования к документации по ценообразованию на этапе закупки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</w:hyperlink>
      <w:r>
        <w:rPr>
          <w:rFonts w:ascii="Times New Roman" w:hAnsi="Times New Roman" w:eastAsia="Times New Roman" w:cs="Times New Roman" w:eastAsiaTheme="minorEastAsia"/>
          <w:b/>
          <w:bCs/>
          <w:sz w:val="24"/>
          <w:szCs w:val="24"/>
        </w:rPr>
        <w:t xml:space="preserve"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65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hyperlink w:tooltip="#_Toc54646412" w:anchor="_Toc54646412" w:history="1"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 w:eastAsiaTheme="minorEastAsia"/>
            <w:b w:val="0"/>
            <w:bCs w:val="0"/>
            <w:sz w:val="24"/>
            <w:szCs w:val="24"/>
          </w:rPr>
          <w:tab/>
        </w:r>
        <w:r>
          <w:rPr>
            <w:rStyle w:val="1066"/>
            <w:rFonts w:ascii="Times New Roman" w:hAnsi="Times New Roman" w:eastAsia="Times New Roman" w:cs="Times New Roman"/>
            <w:sz w:val="24"/>
            <w:szCs w:val="24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  <w:t xml:space="preserve">20</w:t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Приложения ..........................................................................................................................     .20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spacing w:after="160" w:line="259" w:lineRule="auto"/>
      </w:pPr>
      <w:r>
        <w:rPr>
          <w:highlight w:val="none"/>
        </w:rPr>
      </w:r>
      <w:r>
        <w:rPr>
          <w:highlight w:val="none"/>
        </w:rPr>
      </w:r>
      <w:r/>
    </w:p>
    <w:p>
      <w:pPr>
        <w:spacing w:after="160" w:line="259" w:lineRule="auto"/>
        <w:rPr>
          <w:highlight w:val="none"/>
        </w:rPr>
      </w:pP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879"/>
        <w:ind w:left="357" w:hanging="357"/>
        <w:jc w:val="center"/>
        <w:keepLines/>
        <w:rPr>
          <w:caps/>
        </w:rPr>
      </w:pPr>
      <w:r/>
      <w:bookmarkStart w:id="0" w:name="_Toc51339692"/>
      <w:r/>
      <w:bookmarkStart w:id="1" w:name="_Toc54646395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882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075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75"/>
          <w:b w:val="0"/>
          <w:bCs/>
          <w:iCs/>
          <w:sz w:val="26"/>
          <w:szCs w:val="26"/>
        </w:rPr>
      </w:r>
      <w:r>
        <w:rPr>
          <w:rStyle w:val="1075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</w:t>
            </w:r>
            <w:r>
              <w:rPr>
                <w:bCs w:val="0"/>
                <w:highlight w:val="white"/>
              </w:rPr>
            </w:r>
            <w:r>
              <w:rPr>
                <w:bCs w:val="0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Государственный стандарт</w:t>
            </w:r>
            <w:r>
              <w:rPr>
                <w:bCs w:val="0"/>
                <w:highlight w:val="white"/>
              </w:rPr>
            </w:r>
            <w:r>
              <w:rPr>
                <w:bCs w:val="0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КС-2</w:t>
            </w:r>
            <w:r>
              <w:rPr>
                <w:bCs w:val="0"/>
                <w:highlight w:val="white"/>
              </w:rPr>
            </w:r>
            <w:r>
              <w:rPr>
                <w:bCs w:val="0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акт о приемке выполненных работ (форма № КС-2)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КС-3</w:t>
            </w:r>
            <w:r>
              <w:rPr>
                <w:bCs w:val="0"/>
                <w:highlight w:val="white"/>
              </w:rPr>
            </w:r>
            <w:r>
              <w:rPr>
                <w:bCs w:val="0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справка о стоимости выполненных работ и затрат (форма № КС-3)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iCs/>
                <w:sz w:val="24"/>
                <w:szCs w:val="24"/>
              </w:rPr>
              <w:t xml:space="preserve">МТР</w:t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iCs/>
                <w:sz w:val="24"/>
                <w:szCs w:val="24"/>
              </w:rPr>
              <w:t xml:space="preserve">Материально – технические ресурсы</w:t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НТД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ОДМ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Отраслевой дорожный методический документ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ОКПД</w:t>
            </w:r>
            <w:r>
              <w:rPr>
                <w:iCs/>
                <w:sz w:val="24"/>
                <w:szCs w:val="24"/>
              </w:rPr>
              <w:t xml:space="preserve">2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СНиП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Строительные нормы и правила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Свод правил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portable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document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format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5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1075"/>
                <w:b w:val="0"/>
                <w:bCs/>
                <w:iCs/>
                <w:sz w:val="24"/>
                <w:szCs w:val="24"/>
              </w:rPr>
            </w:r>
            <w:r>
              <w:rPr>
                <w:rStyle w:val="1075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5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75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ТОиР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highlight w:val="white"/>
              </w:rPr>
              <w:t xml:space="preserve">Правила организации технического обслуживания и ремонта объектов электроэнергетики</w:t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r/>
      <w:r/>
    </w:p>
    <w:p>
      <w:pPr>
        <w:spacing w:after="160" w:line="259" w:lineRule="auto"/>
      </w:pPr>
      <w:r>
        <w:br w:type="page" w:clear="all"/>
      </w:r>
      <w:r/>
    </w:p>
    <w:p>
      <w:pPr>
        <w:pStyle w:val="882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b w:val="0"/>
          <w:bCs w:val="0"/>
          <w:i/>
          <w:iCs/>
          <w:sz w:val="24"/>
          <w:szCs w:val="24"/>
          <w:highlight w:val="white"/>
        </w:rPr>
      </w:pPr>
      <w:r>
        <w:rPr>
          <w:rFonts w:eastAsia="Calibri"/>
          <w:b w:val="0"/>
          <w:bCs w:val="0"/>
          <w:i/>
          <w:iCs/>
          <w:sz w:val="24"/>
          <w:szCs w:val="24"/>
          <w:highlight w:val="white"/>
        </w:rPr>
      </w:r>
      <w:r>
        <w:rPr>
          <w:rFonts w:eastAsia="Calibri"/>
          <w:b w:val="0"/>
          <w:bCs w:val="0"/>
          <w:i/>
          <w:iCs/>
          <w:sz w:val="24"/>
          <w:szCs w:val="24"/>
          <w:highlight w:val="none"/>
        </w:rPr>
        <w:t xml:space="preserve">ОКПД 2 42.12.20.150  Выполнение работ по ремонту железнодорожных путей Амурской ТЭЦ-1, г. Амурск</w:t>
      </w:r>
      <w:r>
        <w:rPr>
          <w:rFonts w:eastAsia="Calibri"/>
          <w:b w:val="0"/>
          <w:bCs w:val="0"/>
          <w:i/>
          <w:iCs/>
          <w:sz w:val="24"/>
          <w:szCs w:val="24"/>
          <w:highlight w:val="white"/>
        </w:rPr>
      </w:r>
      <w:r>
        <w:rPr>
          <w:rFonts w:eastAsia="Calibri"/>
          <w:b w:val="0"/>
          <w:bCs w:val="0"/>
          <w:i/>
          <w:iCs/>
          <w:sz w:val="24"/>
          <w:szCs w:val="24"/>
          <w:highlight w:val="white"/>
        </w:rPr>
      </w:r>
    </w:p>
    <w:p>
      <w:pPr>
        <w:pStyle w:val="882"/>
        <w:rPr>
          <w:rStyle w:val="1075"/>
          <w:b/>
        </w:rPr>
      </w:pPr>
      <w:r>
        <w:t xml:space="preserve">Цель </w:t>
      </w:r>
      <w:r>
        <w:t xml:space="preserve">выполнения работ </w:t>
      </w:r>
      <w:r>
        <w:rPr>
          <w:rStyle w:val="1075"/>
          <w:b/>
        </w:rPr>
      </w:r>
      <w:r>
        <w:rPr>
          <w:rStyle w:val="1075"/>
          <w:b/>
        </w:rPr>
      </w:r>
    </w:p>
    <w:p>
      <w:pPr>
        <w:jc w:val="both"/>
        <w:spacing w:line="276" w:lineRule="auto"/>
        <w:rPr>
          <w:bCs/>
          <w:i/>
          <w:strike w:val="0"/>
          <w:sz w:val="24"/>
          <w:szCs w:val="24"/>
          <w:highlight w:val="white"/>
        </w:rPr>
      </w:pPr>
      <w:r>
        <w:rPr>
          <w:i/>
          <w:iCs/>
          <w:strike w:val="0"/>
          <w:sz w:val="24"/>
          <w:szCs w:val="24"/>
          <w:highlight w:val="none"/>
        </w:rPr>
        <w:t xml:space="preserve">Целью работ является обеспечение надежной и безопасной эксплуатации железнодорожных тупей. </w:t>
      </w:r>
      <w:r>
        <w:rPr>
          <w:bCs/>
          <w:i/>
          <w:strike w:val="0"/>
          <w:sz w:val="24"/>
          <w:szCs w:val="24"/>
          <w:highlight w:val="white"/>
        </w:rPr>
      </w:r>
      <w:r>
        <w:rPr>
          <w:bCs/>
          <w:i/>
          <w:strike w:val="0"/>
          <w:sz w:val="24"/>
          <w:szCs w:val="24"/>
          <w:highlight w:val="white"/>
        </w:rPr>
      </w:r>
    </w:p>
    <w:p>
      <w:pPr>
        <w:pStyle w:val="882"/>
        <w:rPr>
          <w:highlight w:val="white"/>
        </w:rPr>
      </w:pPr>
      <w:r>
        <w:rPr>
          <w:highlight w:val="white"/>
        </w:rPr>
      </w:r>
      <w:bookmarkStart w:id="0" w:name="undefined"/>
      <w:r>
        <w:rPr>
          <w:highlight w:val="white"/>
        </w:rPr>
      </w:r>
      <w:bookmarkStart w:id="0" w:name="undefined"/>
      <w:r>
        <w:rPr>
          <w:highlight w:val="white"/>
        </w:rPr>
      </w:r>
      <w:bookmarkStart w:id="0" w:name="undefined"/>
      <w:r>
        <w:rPr>
          <w:highlight w:val="white"/>
        </w:rPr>
        <w:t xml:space="preserve">Существующее положение</w:t>
      </w:r>
      <w:bookmarkEnd w:id="0"/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line="276" w:lineRule="auto"/>
        <w:rPr>
          <w:i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1.4.1</w:t>
      </w:r>
      <w:r>
        <w:rPr>
          <w:highlight w:val="white"/>
        </w:rPr>
        <w:t xml:space="preserve"> </w:t>
      </w:r>
      <w:r>
        <w:rPr>
          <w:i/>
          <w:iCs/>
          <w:sz w:val="24"/>
          <w:szCs w:val="24"/>
          <w:highlight w:val="white"/>
        </w:rPr>
        <w:t xml:space="preserve">Амурская ТЭЦ</w:t>
      </w:r>
      <w:r>
        <w:rPr>
          <w:i/>
          <w:iCs/>
          <w:sz w:val="24"/>
          <w:szCs w:val="24"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 xml:space="preserve">– структурное подразделение АО «Дальневосточная генерирующая компания» (АО «ДГК»), входящее в Группу РусГидро, действует на территории </w:t>
      </w:r>
      <w:r>
        <w:rPr>
          <w:i/>
          <w:iCs/>
          <w:sz w:val="24"/>
          <w:szCs w:val="22"/>
          <w:highlight w:val="white"/>
        </w:rPr>
        <w:t xml:space="preserve">Российская Федерация</w:t>
      </w:r>
      <w:r>
        <w:rPr>
          <w:i/>
          <w:sz w:val="24"/>
          <w:szCs w:val="24"/>
          <w:highlight w:val="white"/>
        </w:rPr>
        <w:t xml:space="preserve">, Хабаровский край, г. Амурск, ул. Западное шоссе, д. 10</w:t>
      </w:r>
      <w:r>
        <w:rPr>
          <w:i/>
          <w:sz w:val="24"/>
          <w:szCs w:val="24"/>
          <w:highlight w:val="white"/>
        </w:rPr>
        <w:t xml:space="preserve">. </w:t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  <w:t xml:space="preserve">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ind w:firstLine="708"/>
        <w:jc w:val="both"/>
        <w:spacing w:line="276" w:lineRule="auto"/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  <w:t xml:space="preserve">Амурская ТЭЦ</w:t>
      </w:r>
      <w:r>
        <w:rPr>
          <w:i/>
          <w:sz w:val="24"/>
          <w:szCs w:val="24"/>
          <w:highlight w:val="white"/>
        </w:rPr>
        <w:t xml:space="preserve"> представляет собой тепловую электростанцию с комбинированной выработкой электроэнергии и тепла. </w:t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jc w:val="both"/>
        <w:rPr>
          <w:bCs/>
          <w:i/>
          <w:sz w:val="24"/>
          <w:szCs w:val="24"/>
          <w:highlight w:val="green"/>
        </w:rPr>
      </w:pPr>
      <w:r>
        <w:rPr>
          <w:bCs/>
          <w:i/>
          <w:sz w:val="24"/>
          <w:szCs w:val="24"/>
          <w:highlight w:val="green"/>
        </w:rPr>
      </w:r>
      <w:r>
        <w:rPr>
          <w:bCs/>
          <w:i/>
          <w:sz w:val="24"/>
          <w:szCs w:val="24"/>
          <w:highlight w:val="green"/>
        </w:rPr>
      </w:r>
      <w:r>
        <w:rPr>
          <w:bCs/>
          <w:i/>
          <w:sz w:val="24"/>
          <w:szCs w:val="24"/>
          <w:highlight w:val="green"/>
        </w:rPr>
      </w:r>
    </w:p>
    <w:p>
      <w:pPr>
        <w:pStyle w:val="87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7" w:name="_Таблица_1."/>
      <w:r/>
      <w:bookmarkStart w:id="8" w:name="_Toc54646400"/>
      <w:r/>
      <w:bookmarkEnd w:id="7"/>
      <w:r>
        <w:rPr>
          <w:sz w:val="24"/>
          <w:szCs w:val="24"/>
        </w:rPr>
        <w:t xml:space="preserve">Таблица 1. Перечень объектов заказчика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tbl>
      <w:tblPr>
        <w:tblW w:w="100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976"/>
        <w:gridCol w:w="2298"/>
        <w:gridCol w:w="2126"/>
        <w:gridCol w:w="2096"/>
      </w:tblGrid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9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</w:t>
            </w:r>
            <w:r>
              <w:rPr>
                <w:i/>
                <w:iCs/>
                <w:sz w:val="24"/>
                <w:szCs w:val="24"/>
              </w:rPr>
              <w:t xml:space="preserve">оказания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услуг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</w:t>
            </w:r>
            <w:r>
              <w:rPr>
                <w:sz w:val="24"/>
                <w:szCs w:val="24"/>
              </w:rPr>
              <w:t xml:space="preserve">в отношении которого </w:t>
            </w:r>
            <w:r>
              <w:rPr>
                <w:sz w:val="24"/>
                <w:szCs w:val="24"/>
              </w:rPr>
              <w:t xml:space="preserve">оказываются услуги)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9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09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533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83"/>
              </w:numPr>
              <w:jc w:val="center"/>
            </w:pPr>
            <w:r/>
            <w:r/>
          </w:p>
        </w:tc>
        <w:tc>
          <w:tcPr>
            <w:shd w:val="clear" w:color="ffffff" w:fill="ffffff"/>
            <w:tcW w:w="29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Ремонт железнодорожного пути.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98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  <w:t xml:space="preserve">Структурное подразделение «Амурская ТЭЦ-1» Российская Федерация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, Хабаровский край, г. Амурск, Западное шоссе,10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ind w:left="0" w:firstLine="0"/>
              <w:jc w:val="center"/>
              <w:spacing w:line="271" w:lineRule="auto"/>
              <w:tabs>
                <w:tab w:val="center" w:pos="426" w:leader="none"/>
                <w:tab w:val="center" w:pos="993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Железнодорожные пути к топливоподачи Инв. № 00000000000000008512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6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 «Амурская ТЭЦ-1»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pStyle w:val="882"/>
        <w:jc w:val="both"/>
        <w:rPr>
          <w:highlight w:val="white"/>
        </w:rPr>
      </w:pPr>
      <w:r>
        <w:rPr>
          <w:highlight w:val="white"/>
        </w:rPr>
        <w:t xml:space="preserve">Информация в отношении исполнения договора, </w:t>
      </w:r>
      <w:bookmarkStart w:id="10" w:name="_Hlk46492347"/>
      <w:r>
        <w:rPr>
          <w:highlight w:val="white"/>
        </w:rPr>
        <w:t xml:space="preserve">которая должна быть учтена при подготовке заявки </w:t>
      </w:r>
      <w:bookmarkEnd w:id="10"/>
      <w:r>
        <w:rPr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numPr>
          <w:ilvl w:val="0"/>
          <w:numId w:val="28"/>
        </w:numPr>
        <w:jc w:val="both"/>
        <w:spacing w:line="276" w:lineRule="auto"/>
        <w:rPr>
          <w:highlight w:val="white"/>
        </w:rPr>
      </w:pPr>
      <w:r>
        <w:rPr>
          <w:highlight w:val="none"/>
        </w:rPr>
        <w:t xml:space="preserve"> </w:t>
      </w:r>
      <w:bookmarkStart w:id="0" w:name="undefined"/>
      <w:r>
        <w:rPr>
          <w:highlight w:val="white"/>
        </w:rPr>
        <w:t xml:space="preserve">Электроэнергия, водоснабжение, канализация при получении технических условий на временное присоединение и </w:t>
      </w:r>
      <w:r>
        <w:rPr>
          <w:color w:val="000000" w:themeColor="text1"/>
        </w:rPr>
        <w:t xml:space="preserve">наличии технической возможности у Заказчика</w:t>
      </w:r>
      <w:r>
        <w:rPr>
          <w:highlight w:val="white"/>
        </w:rPr>
        <w:t xml:space="preserve"> (на период выполнения ремонтных работ подрядной организацией).</w:t>
      </w:r>
      <w:bookmarkEnd w:id="0"/>
      <w:r>
        <w:rPr>
          <w:highlight w:val="white"/>
        </w:rPr>
      </w:r>
      <w:r>
        <w:rPr>
          <w:highlight w:val="white"/>
        </w:rPr>
      </w:r>
    </w:p>
    <w:p>
      <w:pPr>
        <w:ind w:left="786" w:firstLine="0"/>
        <w:jc w:val="both"/>
        <w:spacing w:line="276" w:lineRule="auto"/>
        <w:rPr>
          <w:highlight w:val="whit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white"/>
        </w:rPr>
      </w:r>
    </w:p>
    <w:p>
      <w:pPr>
        <w:jc w:val="both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Подрядчик должен иметь (на правах законного владения):</w:t>
      </w:r>
      <w:r>
        <w:rPr>
          <w:sz w:val="24"/>
          <w:szCs w:val="24"/>
          <w:highlight w:val="none"/>
        </w:rPr>
      </w:r>
    </w:p>
    <w:p>
      <w:pPr>
        <w:pStyle w:val="1078"/>
        <w:numPr>
          <w:ilvl w:val="0"/>
          <w:numId w:val="89"/>
        </w:numPr>
        <w:jc w:val="both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Путевой шаблон для измерения параметров колеи – не менее 1 единицы.</w:t>
      </w:r>
      <w:r>
        <w:rPr>
          <w:sz w:val="24"/>
          <w:szCs w:val="24"/>
          <w:highlight w:val="none"/>
        </w:rPr>
      </w:r>
    </w:p>
    <w:p>
      <w:pPr>
        <w:ind w:left="709" w:firstLine="0"/>
        <w:jc w:val="both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/>
      <w:r/>
    </w:p>
    <w:p>
      <w:pPr>
        <w:pStyle w:val="879"/>
        <w:ind w:left="357" w:hanging="357"/>
        <w:jc w:val="center"/>
        <w:keepLines/>
        <w:rPr>
          <w:iCs/>
          <w:caps/>
        </w:rPr>
      </w:pPr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</w:rPr>
      </w:r>
      <w:r>
        <w:rPr>
          <w:iCs/>
          <w:caps/>
        </w:rPr>
      </w:r>
    </w:p>
    <w:p>
      <w:r/>
      <w:r/>
    </w:p>
    <w:p>
      <w:pPr>
        <w:pStyle w:val="882"/>
      </w:pPr>
      <w:r/>
      <w:bookmarkStart w:id="12" w:name="_Toc54646404"/>
      <w:r>
        <w:t xml:space="preserve">Требования к объемам и срокам выполнения работ</w:t>
      </w:r>
      <w:bookmarkEnd w:id="12"/>
      <w:r/>
      <w:r/>
    </w:p>
    <w:p>
      <w:pPr>
        <w:pStyle w:val="881"/>
      </w:pPr>
      <w:r/>
      <w:bookmarkStart w:id="13" w:name="_Toc54646405"/>
      <w:r>
        <w:t xml:space="preserve">Требования к видам и объемам работ</w:t>
      </w:r>
      <w:bookmarkEnd w:id="13"/>
      <w:r/>
      <w:r/>
    </w:p>
    <w:p>
      <w:r/>
      <w:r/>
    </w:p>
    <w:p>
      <w:pPr>
        <w:pStyle w:val="87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4" w:name="_Toc51339695"/>
      <w:r/>
      <w:bookmarkStart w:id="15" w:name="_Toc54646406"/>
      <w:r>
        <w:rPr>
          <w:sz w:val="24"/>
          <w:szCs w:val="24"/>
        </w:rPr>
        <w:t xml:space="preserve">Таблица 2. Перечень </w:t>
      </w:r>
      <w:bookmarkEnd w:id="14"/>
      <w:r>
        <w:rPr>
          <w:sz w:val="24"/>
          <w:szCs w:val="24"/>
        </w:rPr>
        <w:t xml:space="preserve">и объем выполняемых работ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707"/>
        <w:gridCol w:w="2127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0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4"/>
              </w:numPr>
              <w:jc w:val="center"/>
            </w:pPr>
            <w:r/>
            <w:r/>
          </w:p>
        </w:tc>
        <w:tc>
          <w:tcPr>
            <w:tcW w:w="470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eastAsia="Calibri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  <w:r>
              <w:rPr>
                <w:rFonts w:eastAsia="Calibri"/>
                <w:b w:val="0"/>
                <w:bCs w:val="0"/>
                <w:i/>
                <w:iCs/>
                <w:sz w:val="24"/>
                <w:szCs w:val="24"/>
                <w:highlight w:val="none"/>
              </w:rPr>
              <w:t xml:space="preserve">ОКПД 2 42.12.20.150  Выполнение работ по ремонту железнодорожных путей Амурской ТЭЦ-1, г. Амурск</w:t>
            </w: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В соответствии с ведомостью объемов работ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(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Приложение № 3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к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ТТ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)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</w:tr>
    </w:tbl>
    <w:p>
      <w:pPr>
        <w:pStyle w:val="881"/>
        <w:numPr>
          <w:ilvl w:val="0"/>
          <w:numId w:val="0"/>
        </w:numPr>
        <w:ind w:left="1224"/>
      </w:pPr>
      <w:r/>
      <w:bookmarkStart w:id="16" w:name="_Toc51339696"/>
      <w:r/>
      <w:bookmarkStart w:id="17" w:name="_Toc54646407"/>
      <w:r/>
      <w:r/>
    </w:p>
    <w:p>
      <w:pPr>
        <w:pStyle w:val="881"/>
      </w:pPr>
      <w:r>
        <w:t xml:space="preserve">Требования </w:t>
      </w:r>
      <w:bookmarkEnd w:id="16"/>
      <w:r>
        <w:t xml:space="preserve">к срокам выполнения работ</w:t>
      </w:r>
      <w:bookmarkEnd w:id="17"/>
      <w:r/>
      <w:r/>
    </w:p>
    <w:p>
      <w:pPr>
        <w:pStyle w:val="87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8" w:name="_Toc50125127"/>
      <w:r/>
      <w:bookmarkStart w:id="19" w:name="_Toc51339697"/>
      <w:r/>
      <w:bookmarkStart w:id="20" w:name="_Toc54646408"/>
      <w:r>
        <w:rPr>
          <w:sz w:val="24"/>
          <w:szCs w:val="24"/>
        </w:rPr>
        <w:t xml:space="preserve">Таблица 3. </w:t>
      </w:r>
      <w:bookmarkStart w:id="21" w:name="_Hlk50465284"/>
      <w:r>
        <w:rPr>
          <w:sz w:val="24"/>
          <w:szCs w:val="24"/>
        </w:rPr>
        <w:t xml:space="preserve">Требования по срокам </w:t>
      </w:r>
      <w:bookmarkEnd w:id="18"/>
      <w:r/>
      <w:bookmarkEnd w:id="19"/>
      <w:r/>
      <w:bookmarkEnd w:id="21"/>
      <w:r>
        <w:rPr>
          <w:sz w:val="24"/>
          <w:szCs w:val="24"/>
        </w:rPr>
        <w:t xml:space="preserve">выполнения работ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664"/>
        <w:gridCol w:w="2865"/>
        <w:gridCol w:w="3260"/>
      </w:tblGrid>
      <w:tr>
        <w:tblPrEx/>
        <w:trPr/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66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</w:t>
            </w:r>
            <w:r>
              <w:rPr>
                <w:sz w:val="24"/>
                <w:szCs w:val="24"/>
              </w:rPr>
              <w:t xml:space="preserve">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</w:t>
            </w:r>
            <w:r>
              <w:rPr>
                <w:sz w:val="24"/>
                <w:szCs w:val="24"/>
              </w:rPr>
              <w:t xml:space="preserve">срока выполнения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6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65" w:type="dxa"/>
            <w:textDirection w:val="lrTb"/>
            <w:noWrap w:val="false"/>
          </w:tcPr>
          <w:p>
            <w:pPr>
              <w:pStyle w:val="1080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80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5"/>
              </w:numPr>
              <w:jc w:val="center"/>
            </w:pPr>
            <w:r/>
            <w:r/>
          </w:p>
        </w:tc>
        <w:tc>
          <w:tcPr>
            <w:shd w:val="clear" w:color="auto" w:fill="auto"/>
            <w:tcW w:w="2664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eastAsia="Calibri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  <w:r>
              <w:rPr>
                <w:rFonts w:eastAsia="Calibri"/>
                <w:b w:val="0"/>
                <w:bCs w:val="0"/>
                <w:i/>
                <w:iCs/>
                <w:sz w:val="24"/>
                <w:szCs w:val="24"/>
                <w:highlight w:val="none"/>
              </w:rPr>
              <w:t xml:space="preserve">ОКПД 2 42.12.20.150  Выполнение работ по ремонту железнодорожных путей Амурской ТЭЦ-1, г. Амурск</w:t>
            </w: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  <w:r>
              <w:rPr>
                <w:rFonts w:eastAsia="Calibri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2865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12.05.2026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31.12.2026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ind w:left="567" w:hanging="567"/>
        <w:spacing w:line="360" w:lineRule="auto"/>
      </w:pPr>
      <w:r>
        <w:rPr>
          <w:rFonts w:eastAsia="Calibri"/>
          <w:i/>
          <w:sz w:val="24"/>
          <w:szCs w:val="24"/>
        </w:rPr>
        <w:tab/>
      </w:r>
      <w:r/>
    </w:p>
    <w:p>
      <w:pPr>
        <w:spacing w:after="160" w:line="259" w:lineRule="auto"/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851" w:right="709" w:bottom="1134" w:left="1276" w:header="426" w:footer="708" w:gutter="0"/>
          <w:cols w:num="1" w:sep="0" w:space="708" w:equalWidth="1"/>
          <w:docGrid w:linePitch="360"/>
        </w:sectPr>
      </w:pPr>
      <w:r/>
      <w:r/>
    </w:p>
    <w:p>
      <w:pPr>
        <w:pStyle w:val="882"/>
      </w:pPr>
      <w:r/>
      <w:bookmarkStart w:id="22" w:name="_Toc51339698"/>
      <w:r/>
      <w:bookmarkStart w:id="23" w:name="_Toc54646410"/>
      <w:r>
        <w:t xml:space="preserve">Требования к качеству работ</w:t>
      </w:r>
      <w:r/>
    </w:p>
    <w:p>
      <w:pPr>
        <w:pStyle w:val="87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22"/>
      <w:r>
        <w:rPr>
          <w:sz w:val="24"/>
          <w:szCs w:val="24"/>
        </w:rPr>
        <w:t xml:space="preserve">качеству работ</w:t>
      </w:r>
      <w:bookmarkEnd w:id="2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rStyle w:val="1075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1075"/>
          <w:b w:val="0"/>
          <w:iCs/>
          <w:sz w:val="24"/>
          <w:szCs w:val="24"/>
        </w:rPr>
      </w:r>
      <w:r>
        <w:rPr>
          <w:rStyle w:val="1075"/>
          <w:b w:val="0"/>
          <w:iCs/>
          <w:sz w:val="24"/>
          <w:szCs w:val="24"/>
        </w:rPr>
      </w:r>
    </w:p>
    <w:tbl>
      <w:tblPr>
        <w:tblStyle w:val="1081"/>
        <w:tblW w:w="152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7"/>
        <w:gridCol w:w="5"/>
        <w:gridCol w:w="2093"/>
        <w:gridCol w:w="29"/>
        <w:gridCol w:w="4"/>
        <w:gridCol w:w="6453"/>
        <w:gridCol w:w="34"/>
        <w:gridCol w:w="3368"/>
        <w:gridCol w:w="30"/>
        <w:gridCol w:w="2410"/>
      </w:tblGrid>
      <w:tr>
        <w:tblPrEx/>
        <w:trPr/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58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12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3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7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8618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1.1.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6491" w:type="dxa"/>
            <w:textDirection w:val="lrTb"/>
            <w:noWrap w:val="false"/>
          </w:tcPr>
          <w:p>
            <w:p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</w:pPr>
            <w:r>
              <w:t xml:space="preserve">Правила организации технического обслуживания и ремонта объектов электроэнергетики, утв. Приказом Минэнерго России от 25.10.2017 №1013.</w:t>
            </w:r>
            <w:r/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Правила технической эксплуатации электрических станций и сетей Российской Федерации (утв. Приказом Минэнерго РФ от 04.10.2022 № 1070);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highlight w:val="none"/>
              </w:rPr>
            </w:pPr>
            <w:r>
              <w:t xml:space="preserve">СП 45.13330.2017 Земляные сооружения, основания и фундаменты. Актуализированная редакция СНиП 3.02.01-87 (с Изменениями N 1, 2, 3)</w:t>
            </w:r>
            <w:r>
              <w:t xml:space="preserve">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t xml:space="preserve">СП 48.13330.2019 Организация строительства СНиП 12-01-2004 (с Изменениями N 1, 2)</w:t>
            </w:r>
            <w: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highlight w:val="none"/>
              </w:rPr>
            </w:r>
            <w:r>
              <w:t xml:space="preserve">СП 68.13330.2017 Приемка в эксплуатацию законченных строительством объектов. Основные положения. Актуализированная редакция СНиП 3.01.04-87 (с Изменением N 1)</w:t>
            </w:r>
            <w: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highlight w:val="none"/>
              </w:rPr>
            </w:r>
            <w:r>
              <w:t xml:space="preserve">РД 153-34.0-21.601-98 Типовая инструкция по эксплуатации производственных зданий и сооружений энергопредприятий. Часть II. Раздел 2. Технология ремонтов зданий и сооружений</w:t>
            </w:r>
            <w: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highlight w:val="none"/>
              </w:rPr>
            </w:r>
            <w:r>
              <w:t xml:space="preserve">ГОСТ 7392-2014 Щебень из плотных горных пород для балластного слоя железнодорожного пути. Технические условия</w:t>
            </w:r>
            <w: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highlight w:val="none"/>
              </w:rPr>
            </w:r>
            <w:r>
              <w:t xml:space="preserve">ГОСТ Р 51685-2022 Рельсы железнодорожные. Общие технические условия (с Поправкой)</w:t>
            </w:r>
            <w: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5"/>
              </w:numPr>
              <w:ind w:left="0" w:right="0" w:firstLine="360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highlight w:val="none"/>
              </w:rPr>
            </w:r>
            <w:r>
              <w:t xml:space="preserve">Об утверждении и введении в действие Инструкции по обеспечению безопасности движения поездов при производстве путевых работ</w:t>
            </w:r>
            <w:r>
              <w:t xml:space="preserve">, Распоряжение ОАО «РЖД» № 2540 от 14.12.2016г.;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7"/>
              <w:numPr>
                <w:ilvl w:val="0"/>
                <w:numId w:val="84"/>
              </w:numPr>
              <w:ind w:left="0" w:firstLine="284"/>
              <w:jc w:val="both"/>
              <w:rPr>
                <w:bCs/>
                <w:i/>
              </w:rPr>
            </w:pPr>
            <w: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gridSpan w:val="2"/>
            <w:shd w:val="clear" w:color="auto" w:fill="auto"/>
            <w:tcW w:w="3398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1082"/>
              <w:jc w:val="left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6"/>
            <w:tcW w:w="8618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212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textDirection w:val="lrTb"/>
            <w:noWrap w:val="false"/>
          </w:tcPr>
          <w:p>
            <w:pPr>
              <w:ind w:left="0" w:right="0" w:firstLine="567"/>
              <w:jc w:val="both"/>
              <w:spacing w:before="60" w:after="102" w:afterAutospacing="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ab/>
            </w:r>
            <w:r>
              <w:rPr>
                <w:bCs/>
                <w:sz w:val="24"/>
                <w:szCs w:val="24"/>
                <w:highlight w:val="white"/>
              </w:rPr>
              <w:t xml:space="preserve">К</w:t>
            </w:r>
            <w:r>
              <w:rPr>
                <w:bCs/>
                <w:sz w:val="24"/>
                <w:szCs w:val="24"/>
                <w:highlight w:val="white"/>
              </w:rPr>
              <w:t xml:space="preserve">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сходование материально-технических и трудовые ресурсов. </w:t>
            </w:r>
            <w:r>
              <w:rPr>
                <w:bCs/>
                <w:sz w:val="24"/>
                <w:szCs w:val="24"/>
                <w:highlight w:val="white"/>
              </w:rPr>
              <w:t xml:space="preserve">Подрядная организация разрабатывает планы подготовки к ремонту в соответствии 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bCs/>
                <w:sz w:val="24"/>
                <w:szCs w:val="24"/>
                <w:highlight w:val="white"/>
              </w:rPr>
              <w:t xml:space="preserve">р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з</w:t>
            </w:r>
            <w:r>
              <w:rPr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д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ы</w:t>
            </w:r>
            <w:r>
              <w:rPr>
                <w:bCs/>
                <w:sz w:val="24"/>
                <w:szCs w:val="24"/>
                <w:highlight w:val="white"/>
              </w:rPr>
              <w:t xml:space="preserve">х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б</w:t>
            </w:r>
            <w:r>
              <w:rPr>
                <w:bCs/>
                <w:sz w:val="24"/>
                <w:szCs w:val="24"/>
                <w:highlight w:val="white"/>
              </w:rPr>
              <w:t xml:space="preserve">ъ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к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bCs/>
                <w:sz w:val="24"/>
                <w:szCs w:val="24"/>
                <w:highlight w:val="white"/>
              </w:rPr>
              <w:t xml:space="preserve">,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bCs/>
                <w:sz w:val="24"/>
                <w:szCs w:val="24"/>
                <w:highlight w:val="white"/>
              </w:rPr>
              <w:t xml:space="preserve">р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я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ы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к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п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ю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б</w:t>
            </w:r>
            <w:r>
              <w:rPr>
                <w:bCs/>
                <w:sz w:val="24"/>
                <w:szCs w:val="24"/>
                <w:highlight w:val="white"/>
              </w:rPr>
              <w:t xml:space="preserve">ъ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р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б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г</w:t>
            </w:r>
            <w:r>
              <w:rPr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ы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bCs/>
                <w:sz w:val="24"/>
                <w:szCs w:val="24"/>
                <w:highlight w:val="white"/>
              </w:rPr>
              <w:t xml:space="preserve">ч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в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т</w:t>
            </w:r>
            <w:r>
              <w:rPr>
                <w:bCs/>
                <w:sz w:val="24"/>
                <w:szCs w:val="24"/>
                <w:highlight w:val="white"/>
              </w:rPr>
              <w:t xml:space="preserve">е</w:t>
            </w:r>
            <w:r>
              <w:rPr>
                <w:bCs/>
                <w:sz w:val="24"/>
                <w:szCs w:val="24"/>
                <w:highlight w:val="white"/>
              </w:rPr>
              <w:t xml:space="preserve">р</w:t>
            </w:r>
            <w:r>
              <w:rPr>
                <w:bCs/>
                <w:sz w:val="24"/>
                <w:szCs w:val="24"/>
                <w:highlight w:val="white"/>
              </w:rPr>
              <w:t xml:space="preserve">и</w:t>
            </w:r>
            <w:r>
              <w:rPr>
                <w:bCs/>
                <w:sz w:val="24"/>
                <w:szCs w:val="24"/>
                <w:highlight w:val="white"/>
              </w:rPr>
              <w:t xml:space="preserve">а</w:t>
            </w:r>
            <w:r>
              <w:rPr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Cs/>
                <w:sz w:val="24"/>
                <w:szCs w:val="24"/>
                <w:highlight w:val="white"/>
              </w:rPr>
              <w:t xml:space="preserve">ь</w:t>
            </w:r>
            <w:r>
              <w:rPr>
                <w:bCs/>
                <w:sz w:val="24"/>
                <w:szCs w:val="24"/>
                <w:highlight w:val="white"/>
              </w:rPr>
              <w:t xml:space="preserve">н</w:t>
            </w:r>
            <w:r>
              <w:rPr>
                <w:bCs/>
                <w:sz w:val="24"/>
                <w:szCs w:val="24"/>
                <w:highlight w:val="white"/>
              </w:rPr>
              <w:t xml:space="preserve">о</w:t>
            </w:r>
            <w:r>
              <w:rPr>
                <w:bCs/>
                <w:sz w:val="24"/>
                <w:szCs w:val="24"/>
                <w:highlight w:val="white"/>
              </w:rPr>
              <w:t xml:space="preserve">-</w:t>
            </w:r>
            <w:r>
              <w:rPr>
                <w:bCs/>
                <w:sz w:val="24"/>
                <w:szCs w:val="24"/>
                <w:highlight w:val="white"/>
              </w:rPr>
              <w:t xml:space="preserve">техническом обеспечения ремонтных работ.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567"/>
              <w:jc w:val="both"/>
              <w:spacing w:before="60" w:after="102" w:afterAutospacing="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</w:t>
            </w:r>
            <w:r>
              <w:rPr>
                <w:bCs/>
                <w:sz w:val="24"/>
                <w:szCs w:val="24"/>
                <w:highlight w:val="white"/>
              </w:rPr>
              <w:t xml:space="preserve">ТОиР</w:t>
            </w:r>
            <w:r>
              <w:rPr>
                <w:bCs/>
                <w:sz w:val="24"/>
                <w:szCs w:val="24"/>
                <w:highlight w:val="white"/>
              </w:rPr>
              <w:t xml:space="preserve"> (ведомостью дополнительных работ по ремонту и протоколом </w:t>
            </w:r>
            <w:r>
              <w:rPr>
                <w:bCs/>
                <w:sz w:val="24"/>
                <w:szCs w:val="24"/>
                <w:highlight w:val="white"/>
              </w:rPr>
              <w:t xml:space="preserve">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</w:t>
            </w:r>
            <w:r>
              <w:rPr>
                <w:bCs/>
                <w:sz w:val="24"/>
                <w:szCs w:val="24"/>
                <w:highlight w:val="white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567"/>
              <w:jc w:val="both"/>
              <w:spacing w:before="60" w:after="62" w:afterAutospacing="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 начала ремонта 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jc w:val="both"/>
              <w:spacing w:after="80" w:line="276" w:lineRule="auto"/>
              <w:shd w:val="clear" w:color="auto" w:fill="ffffff"/>
              <w:tabs>
                <w:tab w:val="left" w:pos="709" w:leader="none"/>
                <w:tab w:val="left" w:pos="99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    </w:t>
            </w:r>
            <w:r>
              <w:rPr>
                <w:highlight w:val="white"/>
              </w:rPr>
              <w:t xml:space="preserve">    </w:t>
            </w:r>
            <w:r>
              <w:rPr>
                <w:sz w:val="24"/>
                <w:szCs w:val="24"/>
                <w:highlight w:val="white"/>
              </w:rPr>
              <w:t xml:space="preserve">- разрабатывает и направляет </w:t>
            </w:r>
            <w:r>
              <w:rPr>
                <w:sz w:val="24"/>
                <w:szCs w:val="24"/>
                <w:highlight w:val="white"/>
              </w:rPr>
              <w:t xml:space="preserve">на согласование проект производства работ (П</w:t>
            </w:r>
            <w:r>
              <w:rPr>
                <w:sz w:val="24"/>
                <w:szCs w:val="24"/>
                <w:highlight w:val="white"/>
              </w:rPr>
              <w:t xml:space="preserve">ПР). </w:t>
            </w:r>
            <w:r>
              <w:rPr>
                <w:sz w:val="24"/>
                <w:szCs w:val="24"/>
                <w:highlight w:val="white"/>
              </w:rPr>
              <w:t xml:space="preserve">В ППР указать методы и технологию выполнения работ, организационные вопросы, мероприятия по технике безопасности и охране труда, график выполнения работ, отражающий физические объемы, потребность трудозатрат и материалов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after="62" w:afterAutospacing="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проводит проверку выполнения подготовительных работ в соответствии с планом подготовки к ремонту.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after="62" w:afterAutospacing="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определяет состав бригад (участков)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 по ремонту объекта, по  численности, квалификации и профессиям.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назначает руководителей работ по ремонту в соответствии с номенклатурой и объемом работ, принятым по договору;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проверяет удостоверения сварщиков, стропальщиков, крановщиков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 и лиц других специальностей на право выполнения работ при ремонте;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- проверяет выполнение требований допуска ремонтного и командированного персонала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.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82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320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2127" w:type="dxa"/>
            <w:vAlign w:val="center"/>
            <w:textDirection w:val="lrTb"/>
            <w:noWrap w:val="false"/>
          </w:tcPr>
          <w:p>
            <w:pPr>
              <w:jc w:val="left"/>
              <w:spacing w:before="60" w:line="276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textDirection w:val="lrTb"/>
            <w:noWrap w:val="false"/>
          </w:tcPr>
          <w:p>
            <w:pPr>
              <w:ind w:firstLine="456"/>
              <w:jc w:val="both"/>
              <w:spacing w:after="60" w:line="276" w:lineRule="auto"/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/>
          </w:p>
          <w:p>
            <w:pPr>
              <w:contextualSpacing/>
              <w:ind w:left="0" w:right="0" w:firstLine="425"/>
              <w:jc w:val="both"/>
              <w:spacing w:after="60" w:line="276" w:lineRule="auto"/>
              <w:rPr>
                <w:highlight w:val="green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– Инструкция по организации пропускного и внутриобъектового режимов СП «Амурская ТЭЦ-1»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 АО «ДГК» (Приложение № 5 к ТТ)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  <w:p>
            <w:pPr>
              <w:pStyle w:val="1078"/>
              <w:numPr>
                <w:ilvl w:val="0"/>
                <w:numId w:val="29"/>
              </w:numPr>
              <w:contextualSpacing/>
              <w:ind w:left="0" w:right="0" w:firstLine="425"/>
              <w:jc w:val="both"/>
              <w:spacing w:after="60" w:line="276" w:lineRule="auto"/>
              <w:rPr>
                <w:rFonts w:eastAsia="Calibri"/>
                <w:highlight w:val="green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Поло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жением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о допуске персонала подрядных организаций к выполнению работ на объектах АО «ДГК» - 22.1-504-2025, </w:t>
            </w:r>
            <w:r>
              <w:rPr>
                <w:bCs/>
                <w:sz w:val="24"/>
                <w:szCs w:val="24"/>
                <w:highlight w:val="white"/>
              </w:rPr>
              <w:t xml:space="preserve">(утверждено приказом АО «ДГК» №795 от 25.09.2025) (Приложение №</w:t>
            </w:r>
            <w:r>
              <w:rPr>
                <w:bCs/>
                <w:sz w:val="24"/>
                <w:szCs w:val="24"/>
                <w:highlight w:val="none"/>
              </w:rPr>
              <w:t xml:space="preserve"> 5</w:t>
            </w:r>
            <w:r>
              <w:rPr>
                <w:bCs/>
                <w:sz w:val="24"/>
                <w:szCs w:val="24"/>
                <w:highlight w:val="white"/>
              </w:rPr>
              <w:t xml:space="preserve"> к ТТ).</w:t>
            </w:r>
            <w:r>
              <w:rPr>
                <w:rFonts w:eastAsia="Calibri"/>
                <w:highlight w:val="green"/>
              </w:rPr>
            </w:r>
            <w:r>
              <w:rPr>
                <w:rFonts w:eastAsia="Calibri"/>
                <w:highlight w:val="green"/>
              </w:rPr>
            </w:r>
          </w:p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426" w:leader="none"/>
              </w:tabs>
              <w:rPr>
                <w:rFonts w:eastAsia="Calibri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4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i/>
                <w:sz w:val="24"/>
                <w:szCs w:val="24"/>
                <w:highlight w:val="none"/>
              </w:rPr>
            </w:r>
            <w:r>
              <w:rPr>
                <w:rFonts w:eastAsia="Calibri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426" w:leader="none"/>
              </w:tabs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82"/>
              <w:jc w:val="left"/>
              <w:keepNext w:val="0"/>
              <w:spacing w:line="276" w:lineRule="auto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Align w:val="center"/>
            <w:textDirection w:val="lrTb"/>
            <w:noWrap w:val="false"/>
          </w:tcPr>
          <w:p>
            <w:pPr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2127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2"/>
                <w:szCs w:val="24"/>
              </w:rPr>
              <w:t xml:space="preserve">Требования к используемым материалам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textDirection w:val="lrTb"/>
            <w:noWrap w:val="false"/>
          </w:tcPr>
          <w:p>
            <w:pPr>
              <w:numPr>
                <w:ilvl w:val="0"/>
                <w:numId w:val="67"/>
              </w:numPr>
              <w:contextualSpacing/>
              <w:ind w:left="35"/>
              <w:jc w:val="both"/>
              <w:spacing w:after="60" w:line="276" w:lineRule="auto"/>
              <w:tabs>
                <w:tab w:val="left" w:pos="40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     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Материалы, необходимые для выполнения работ, приобретаются подрядчиком самостоятельно в соответствии с приложением № 4 к ТТ.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contextualSpacing/>
              <w:ind w:left="35" w:right="0" w:firstLine="390"/>
              <w:jc w:val="both"/>
              <w:spacing w:line="276" w:lineRule="auto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Все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применяемые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материалы должны быть новыми и не использованными ранее.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pStyle w:val="1078"/>
              <w:numPr>
                <w:ilvl w:val="0"/>
                <w:numId w:val="46"/>
              </w:numPr>
              <w:ind w:left="35" w:right="0" w:firstLine="390"/>
              <w:jc w:val="both"/>
              <w:spacing w:line="276" w:lineRule="auto"/>
              <w:tabs>
                <w:tab w:val="left" w:pos="406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4"/>
                <w:szCs w:val="24"/>
                <w:highlight w:val="white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78"/>
              <w:numPr>
                <w:ilvl w:val="0"/>
                <w:numId w:val="46"/>
              </w:numPr>
              <w:ind w:left="35" w:right="0" w:firstLine="390"/>
              <w:jc w:val="both"/>
              <w:spacing w:line="276" w:lineRule="auto"/>
              <w:tabs>
                <w:tab w:val="left" w:pos="406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4"/>
                <w:szCs w:val="24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bCs/>
                <w:sz w:val="24"/>
                <w:szCs w:val="24"/>
                <w:highlight w:val="white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35" w:firstLine="0"/>
              <w:jc w:val="both"/>
              <w:spacing w:after="60" w:line="276" w:lineRule="auto"/>
              <w:tabs>
                <w:tab w:val="left" w:pos="406" w:leader="none"/>
              </w:tabs>
              <w:rPr>
                <w:rFonts w:eastAsia="Calibri"/>
                <w:highlight w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highlight w:val="none"/>
              </w:rPr>
            </w:r>
            <w:r>
              <w:rPr>
                <w:rFonts w:eastAsia="Calibri"/>
                <w:highlight w:val="none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2"/>
              <w:jc w:val="left"/>
              <w:keepNext w:val="0"/>
              <w:spacing w:line="276" w:lineRule="auto"/>
              <w:rPr>
                <w:rFonts w:eastAsia="Times New Roman"/>
                <w:b w:val="0"/>
                <w:bCs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  <w:r>
              <w:rPr>
                <w:rFonts w:eastAsia="Times New Roman"/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2127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2"/>
                <w:szCs w:val="24"/>
                <w:highlight w:val="white"/>
              </w:rPr>
              <w:t xml:space="preserve">Контроль качества используемых материалов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3"/>
            <w:tcW w:w="6491" w:type="dxa"/>
            <w:textDirection w:val="lrTb"/>
            <w:noWrap w:val="false"/>
          </w:tcPr>
          <w:p>
            <w:pPr>
              <w:ind w:firstLine="567"/>
              <w:jc w:val="both"/>
              <w:spacing w:line="276" w:lineRule="auto"/>
              <w:tabs>
                <w:tab w:val="left" w:pos="709" w:leader="none"/>
                <w:tab w:val="left" w:pos="141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709" w:leader="none"/>
                <w:tab w:val="left" w:pos="1418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bCs/>
                <w:iCs/>
                <w:sz w:val="24"/>
                <w:szCs w:val="24"/>
              </w:rPr>
              <w:t xml:space="preserve">При осуществлении Подрядчиком входного контроля качества строительных материалов и изделий, поступивших на ремонтную площадку, об</w:t>
            </w:r>
            <w:r>
              <w:rPr>
                <w:bCs/>
                <w:iCs/>
                <w:sz w:val="24"/>
                <w:szCs w:val="24"/>
              </w:rPr>
              <w:t xml:space="preserve">язательное наличие и ведение журнала входного учета и контроля качества получаемых материалов. Отсутствие записи о приемке материалов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  <w:p>
            <w:pPr>
              <w:pStyle w:val="1078"/>
              <w:ind w:left="0" w:right="0" w:firstLine="567"/>
              <w:jc w:val="both"/>
              <w:spacing w:line="276" w:lineRule="auto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2127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контролю качества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6491" w:type="dxa"/>
            <w:textDirection w:val="lrTb"/>
            <w:noWrap w:val="false"/>
          </w:tcPr>
          <w:p>
            <w:pPr>
              <w:ind w:left="0" w:right="0" w:firstLine="425"/>
              <w:jc w:val="both"/>
              <w:spacing w:after="60" w:line="276" w:lineRule="auto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  <w:highlight w:val="white"/>
              </w:rPr>
      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79" w:afterAutospacing="0"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    </w:t>
            </w:r>
            <w:r>
              <w:rPr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  </w:t>
            </w:r>
            <w:r>
              <w:rPr>
                <w:iCs/>
                <w:sz w:val="24"/>
                <w:szCs w:val="24"/>
                <w:highlight w:val="white"/>
              </w:rPr>
              <w:t xml:space="preserve">При</w:t>
            </w:r>
            <w:r>
              <w:rPr>
                <w:iCs/>
                <w:sz w:val="24"/>
                <w:szCs w:val="24"/>
                <w:highlight w:val="white"/>
              </w:rPr>
              <w:t xml:space="preserve">емка в эксплуатацию и контроль качества ремонта должны производиться в соответствии с разделами №4.2 «Положения об организации контроля и приемке выполненных работ на </w:t>
            </w:r>
            <w:r>
              <w:rPr>
                <w:iCs/>
                <w:sz w:val="24"/>
                <w:szCs w:val="24"/>
                <w:highlight w:val="white"/>
              </w:rPr>
              <w:t xml:space="preserve">ремонтируемых объектах, объектах модернизации, реконструкции и технического перевооружения - 21-003-2019» утверждено приказом от 29.11.2019 АО «ДГК» (Приложение № 5 к ТТ).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78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098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Квалификация персонала подрядчика, привлекаемого к выполнению рабо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6520" w:type="dxa"/>
            <w:vAlign w:val="center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 иметь минимально необходимое для выполнения </w:t>
            </w:r>
            <w:r>
              <w:rPr>
                <w:sz w:val="24"/>
                <w:szCs w:val="24"/>
                <w:highlight w:val="white"/>
              </w:rPr>
              <w:t xml:space="preserve">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  <w:p>
            <w:pPr>
              <w:pStyle w:val="1078"/>
              <w:numPr>
                <w:ilvl w:val="0"/>
                <w:numId w:val="47"/>
              </w:numPr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318" w:leader="none"/>
              </w:tabs>
              <w:rPr>
                <w:bCs/>
                <w:iCs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список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персонала с указанием сведений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грузоподъемных, работ с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электро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- и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пневмоинструментом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) (возможно совмещение специальностей)</w:t>
            </w:r>
            <w:r>
              <w:rPr>
                <w:bCs/>
                <w:iCs/>
                <w:sz w:val="24"/>
                <w:szCs w:val="24"/>
                <w:highlight w:val="none"/>
              </w:rPr>
              <w:t xml:space="preserve">.</w:t>
            </w:r>
            <w:r>
              <w:rPr>
                <w:bCs/>
                <w:iCs/>
                <w:highlight w:val="white"/>
              </w:rPr>
            </w:r>
            <w:r>
              <w:rPr>
                <w:bCs/>
                <w:iCs/>
                <w:highlight w:val="white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18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tcW w:w="14426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098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line="276" w:lineRule="auto"/>
              <w:tabs>
                <w:tab w:val="left" w:pos="28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76" w:lineRule="auto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6486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pStyle w:val="1078"/>
              <w:numPr>
                <w:ilvl w:val="0"/>
                <w:numId w:val="48"/>
              </w:numPr>
              <w:contextualSpacing w:val="0"/>
              <w:ind w:left="0" w:right="0" w:firstLine="567"/>
              <w:jc w:val="both"/>
              <w:spacing w:line="276" w:lineRule="auto"/>
              <w:tabs>
                <w:tab w:val="left" w:pos="182" w:leader="none"/>
                <w:tab w:val="left" w:pos="413" w:leader="none"/>
              </w:tabs>
              <w:rPr>
                <w:iCs/>
                <w:highlight w:val="white"/>
              </w:rPr>
              <w:suppressLineNumbers w:val="0"/>
            </w:pPr>
            <w:r>
              <w:rPr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</w:t>
            </w:r>
            <w:r>
              <w:rPr>
                <w:iCs/>
                <w:sz w:val="24"/>
                <w:szCs w:val="24"/>
                <w:highlight w:val="white"/>
              </w:rPr>
              <w:t xml:space="preserve">07.2001 г. №80;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48"/>
              </w:numPr>
              <w:contextualSpacing w:val="0"/>
              <w:ind w:left="0" w:right="0" w:firstLine="567"/>
              <w:jc w:val="both"/>
              <w:spacing w:line="276" w:lineRule="auto"/>
              <w:tabs>
                <w:tab w:val="left" w:pos="182" w:leader="none"/>
                <w:tab w:val="left" w:pos="413" w:leader="none"/>
              </w:tabs>
              <w:rPr>
                <w:highlight w:val="white"/>
              </w:rPr>
              <w:suppressLineNumbers w:val="0"/>
            </w:pPr>
            <w:r>
              <w:rPr>
                <w:iCs/>
                <w:sz w:val="24"/>
                <w:szCs w:val="24"/>
                <w:highlight w:val="none"/>
              </w:rPr>
              <w:t xml:space="preserve"> СНиП 12-04-2002 </w:t>
            </w:r>
            <w:r>
              <w:t xml:space="preserve">О принятии строительных норм и правил Российской Федерации "Безопасность труда в строительстве. Часть 2. Строительное производство"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 w:val="0"/>
              <w:ind w:left="0" w:right="0" w:firstLine="567"/>
              <w:jc w:val="both"/>
              <w:spacing w:before="60" w:line="276" w:lineRule="auto"/>
              <w:widowControl w:val="off"/>
              <w:tabs>
                <w:tab w:val="left" w:pos="318" w:leader="none"/>
              </w:tabs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iCs/>
                <w:sz w:val="24"/>
                <w:szCs w:val="24"/>
                <w:highlight w:val="white"/>
              </w:rPr>
              <w:t xml:space="preserve">СО 34.03.201-97 (РД 34.03.201-97) Правила техники безопасности при эксплуатации тепломеханического оборудования электростанций и тепловых сетей.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879"/>
              <w:numPr>
                <w:ilvl w:val="0"/>
                <w:numId w:val="0"/>
              </w:numPr>
              <w:contextualSpacing w:val="0"/>
              <w:ind w:left="0" w:right="0" w:firstLine="283"/>
              <w:jc w:val="both"/>
              <w:spacing w:before="62" w:beforeAutospacing="0" w:after="96" w:afterAutospacing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Статья 214 ТК РФ. Обязанности работодателя в области охраны труда.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  <w:p>
            <w:pPr>
              <w:contextualSpacing w:val="0"/>
              <w:ind w:left="0" w:right="0" w:firstLine="425"/>
              <w:jc w:val="both"/>
              <w:spacing w:before="60" w:line="276" w:lineRule="auto"/>
              <w:widowControl w:val="off"/>
              <w:tabs>
                <w:tab w:val="left" w:pos="426" w:leader="none"/>
              </w:tabs>
              <w:rPr>
                <w:rFonts w:eastAsia="Calibri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При производстве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на территории, находящейся под контролем другого работодателя (иного лица), работодатель, осуществляющий производство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 обязан перед началом производства работ, согласовать с дру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гим работодателем (иным лицом) мероприятия по предотвращению случаев повреждения здоровья работнико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в, в том числе работников сторонних организаций, производящих работы на данной территории. Примерный перечень мероприятий по предотвраще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нию случаев повреждения здоровья работников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хсторонней комиссии по регулированию социально-трудовых отношений.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left="0" w:right="0" w:firstLine="567"/>
              <w:jc w:val="both"/>
              <w:spacing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none"/>
              </w:rPr>
              <w:suppressLineNumbers w:val="0"/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90"/>
        </w:trPr>
        <w:tc>
          <w:tcPr>
            <w:gridSpan w:val="2"/>
            <w:tcW w:w="822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6486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iCs/>
                <w:sz w:val="24"/>
                <w:szCs w:val="24"/>
                <w:highlight w:val="none"/>
              </w:rPr>
              <w:t xml:space="preserve">М</w:t>
            </w:r>
            <w:r>
              <w:rPr>
                <w:iCs/>
                <w:sz w:val="24"/>
                <w:szCs w:val="24"/>
                <w:highlight w:val="white"/>
              </w:rPr>
              <w:t xml:space="preserve">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3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3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№123-ФЗ от 22.07.2008 «Технический регламент о требованиях пожарной безопасности»;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  <w:p>
            <w:pPr>
              <w:ind w:left="0" w:right="0" w:firstLine="567"/>
              <w:jc w:val="both"/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развитие.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gridSpan w:val="2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22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6486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- Федеральный закон от 10.01.2002 № 7-ФЗ «Об охране окружающей среды» (ред. от 02.07.21);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- Федеральный закон от 04.05.1999 № 96-ФЗ «Об охране атмосферного воздуха» (ред. от 11.06.2021);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Согласие с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822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9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6486" w:type="dxa"/>
            <w:vMerge w:val="restart"/>
            <w:textDirection w:val="lrTb"/>
            <w:noWrap w:val="false"/>
          </w:tcPr>
          <w:p>
            <w:pPr>
              <w:ind w:firstLine="430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firstLine="430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      </w:r>
            <w:r>
              <w:rPr>
                <w:iCs/>
                <w:sz w:val="24"/>
                <w:szCs w:val="24"/>
                <w:highlight w:val="white"/>
              </w:rPr>
              <w:t xml:space="preserve">внутриобъектового</w:t>
            </w:r>
            <w:r>
              <w:rPr>
                <w:iCs/>
                <w:sz w:val="24"/>
                <w:szCs w:val="24"/>
                <w:highlight w:val="white"/>
              </w:rPr>
              <w:t xml:space="preserve"> режима Заказчика.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pacing w:line="276" w:lineRule="auto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</w:t>
            </w:r>
            <w:r>
              <w:rPr>
                <w:iCs/>
                <w:sz w:val="24"/>
                <w:szCs w:val="24"/>
                <w:highlight w:val="white"/>
              </w:rPr>
              <w:t xml:space="preserve">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0" w:right="0" w:firstLine="425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ind w:left="0" w:right="0" w:firstLine="425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Правилах по охране труда при работе на высоте (утверждены приказом Министерства труда от 16.11.2020 №782н)</w:t>
            </w:r>
            <w:r>
              <w:rPr>
                <w:iCs/>
                <w:sz w:val="24"/>
                <w:szCs w:val="24"/>
              </w:rPr>
              <w:t xml:space="preserve">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ind w:left="0" w:right="0" w:firstLine="425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ind w:left="0" w:right="0" w:firstLine="425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ind w:left="0" w:right="0" w:firstLine="425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contextualSpacing/>
              <w:ind w:left="0" w:right="0" w:firstLine="425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contextualSpacing/>
              <w:ind w:left="0" w:right="0" w:firstLine="425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contextualSpacing/>
              <w:ind w:left="0" w:right="0" w:firstLine="425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contextualSpacing/>
              <w:ind w:left="0" w:right="0" w:firstLine="425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49"/>
              </w:numPr>
              <w:contextualSpacing/>
              <w:ind w:left="0" w:right="0" w:firstLine="425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contextualSpacing w:val="0"/>
              <w:jc w:val="both"/>
              <w:spacing w:before="0" w:after="60" w:line="240" w:lineRule="auto"/>
              <w:rPr>
                <w:rFonts w:eastAsia="Calibri"/>
                <w:b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Calibri"/>
                <w:bCs/>
                <w:sz w:val="24"/>
                <w:szCs w:val="24"/>
              </w:rPr>
              <w:t xml:space="preserve">      </w:t>
            </w:r>
            <w:r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left="0" w:right="0" w:firstLine="567"/>
              <w:jc w:val="both"/>
              <w:spacing w:before="0" w:line="240" w:lineRule="auto"/>
              <w:tabs>
                <w:tab w:val="left" w:pos="572" w:leader="none"/>
              </w:tabs>
              <w:rPr>
                <w:bCs/>
                <w:i/>
                <w:sz w:val="24"/>
                <w:szCs w:val="24"/>
                <w:highlight w:val="none"/>
              </w:rPr>
              <w:suppressLineNumbers w:val="0"/>
            </w:pPr>
            <w:r>
              <w:rPr>
                <w:i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Согласие с </w:t>
            </w:r>
            <w:r>
              <w:rPr>
                <w:i/>
                <w:sz w:val="24"/>
                <w:szCs w:val="24"/>
                <w:highlight w:val="white"/>
              </w:rPr>
              <w:t xml:space="preserve">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60" w:line="276" w:lineRule="auto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  <w:t xml:space="preserve">Состояние объектов</w:t>
            </w:r>
            <w:r>
              <w:rPr>
                <w:bCs/>
                <w:strike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после ремонта железнодорожных путей должно соответствовать требованиям нормативно-технической документации на ремонт в течение гарантийного срока</w:t>
            </w:r>
            <w:r>
              <w:rPr>
                <w:bCs/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оговора подряда (в том числе в разделе № 4), который включен в состав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Документации о закупке.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left="25" w:right="0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Merge w:val="restart"/>
            <w:textDirection w:val="lrTb"/>
            <w:noWrap w:val="false"/>
          </w:tcPr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-//-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left="25" w:right="0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2131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i/>
                <w:sz w:val="24"/>
                <w:szCs w:val="24"/>
                <w:highlight w:val="white"/>
              </w:rPr>
              <w:t xml:space="preserve">Общие требования к оформлению документации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6487" w:type="dxa"/>
            <w:textDirection w:val="lrTb"/>
            <w:noWrap w:val="false"/>
          </w:tcPr>
          <w:p>
            <w:pPr>
              <w:ind w:left="0" w:right="0" w:firstLine="425"/>
              <w:jc w:val="both"/>
              <w:spacing w:before="60" w:line="276" w:lineRule="auto"/>
              <w:rPr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Предоставить Заказчику электронные версии Акта </w:t>
            </w:r>
            <w:r>
              <w:rPr>
                <w:iCs/>
                <w:sz w:val="24"/>
                <w:szCs w:val="24"/>
                <w:highlight w:val="white"/>
              </w:rPr>
              <w:br/>
              <w:t xml:space="preserve">КС-2 и Справки КС-3 на цифровом носителе в формате *</w:t>
            </w:r>
            <w:r>
              <w:rPr>
                <w:iCs/>
                <w:sz w:val="24"/>
                <w:szCs w:val="24"/>
                <w:highlight w:val="white"/>
              </w:rPr>
              <w:t xml:space="preserve">gsfx</w:t>
            </w:r>
            <w:r>
              <w:rPr>
                <w:iCs/>
                <w:sz w:val="24"/>
                <w:szCs w:val="24"/>
                <w:highlight w:val="white"/>
              </w:rPr>
              <w:t xml:space="preserve"> ПК «ГРАНД Сметы», в формате *.</w:t>
            </w:r>
            <w:r>
              <w:rPr>
                <w:iCs/>
                <w:sz w:val="24"/>
                <w:szCs w:val="24"/>
                <w:highlight w:val="white"/>
              </w:rPr>
              <w:t xml:space="preserve">pdf</w:t>
            </w:r>
            <w:r>
              <w:rPr>
                <w:iCs/>
                <w:sz w:val="24"/>
                <w:szCs w:val="24"/>
                <w:highlight w:val="white"/>
              </w:rPr>
              <w:t xml:space="preserve">) и на бумажном носителе в 3-х экземплярах, исполнительную </w:t>
            </w:r>
            <w:r>
              <w:rPr>
                <w:iCs/>
                <w:sz w:val="24"/>
                <w:szCs w:val="24"/>
                <w:highlight w:val="white"/>
              </w:rPr>
              <w:t xml:space="preserve">и сдаточную </w:t>
            </w:r>
            <w:r>
              <w:rPr>
                <w:iCs/>
                <w:sz w:val="24"/>
                <w:szCs w:val="24"/>
                <w:highlight w:val="white"/>
              </w:rPr>
              <w:t xml:space="preserve">документацию в электронном виде (в формате *</w:t>
            </w:r>
            <w:r>
              <w:rPr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iCs/>
                <w:sz w:val="24"/>
                <w:szCs w:val="24"/>
                <w:highlight w:val="white"/>
              </w:rPr>
              <w:t xml:space="preserve">pdf</w:t>
            </w:r>
            <w:r>
              <w:rPr>
                <w:iCs/>
                <w:sz w:val="24"/>
                <w:szCs w:val="24"/>
                <w:highlight w:val="white"/>
              </w:rPr>
              <w:t xml:space="preserve">) и на бумажном носителе в 2</w:t>
            </w:r>
            <w:r>
              <w:rPr>
                <w:iCs/>
                <w:sz w:val="24"/>
                <w:szCs w:val="24"/>
                <w:highlight w:val="white"/>
              </w:rPr>
              <w:t xml:space="preserve">-х экземплярах.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425"/>
              <w:jc w:val="both"/>
              <w:spacing w:before="60" w:line="276" w:lineRule="auto"/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  <w:t xml:space="preserve">Исп</w:t>
            </w:r>
            <w:r>
              <w:rPr>
                <w:iCs/>
                <w:sz w:val="24"/>
                <w:szCs w:val="24"/>
                <w:highlight w:val="white"/>
              </w:rPr>
              <w:t xml:space="preserve">олнительная документация должна быть оформлена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перевооружения.», утвержденным приказом № 555 от </w:t>
            </w:r>
            <w:r>
              <w:rPr>
                <w:iCs/>
                <w:sz w:val="24"/>
                <w:szCs w:val="24"/>
                <w:highlight w:val="white"/>
              </w:rPr>
              <w:t xml:space="preserve">29.11.2019 г. АО «ДГК»</w:t>
            </w:r>
            <w:r>
              <w:rPr>
                <w:iCs/>
                <w:sz w:val="24"/>
                <w:szCs w:val="24"/>
                <w:highlight w:val="none"/>
              </w:rPr>
              <w:t xml:space="preserve"> (Приложение № 5 к ТТ), приказ </w:t>
            </w:r>
            <w:r>
              <w:rPr>
                <w:iCs/>
                <w:sz w:val="24"/>
                <w:szCs w:val="24"/>
                <w:highlight w:val="none"/>
              </w:rPr>
              <w:t xml:space="preserve">ЖКХ № 344</w:t>
            </w:r>
            <w:r>
              <w:rPr>
                <w:iCs/>
                <w:sz w:val="24"/>
                <w:szCs w:val="24"/>
                <w:highlight w:val="white"/>
              </w:rPr>
              <w:t xml:space="preserve">/пр</w:t>
            </w:r>
            <w:r>
              <w:rPr>
                <w:iCs/>
                <w:sz w:val="24"/>
                <w:szCs w:val="24"/>
                <w:highlight w:val="none"/>
              </w:rPr>
              <w:t xml:space="preserve"> от 16.05.2023 </w:t>
            </w:r>
            <w:r>
              <w:rPr>
                <w:iCs/>
                <w:sz w:val="24"/>
                <w:szCs w:val="24"/>
                <w:highlight w:val="white"/>
              </w:rPr>
              <w:t xml:space="preserve">г.</w:t>
            </w:r>
            <w:r>
              <w:rPr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Cs/>
                <w:sz w:val="24"/>
                <w:szCs w:val="24"/>
                <w:highlight w:val="none"/>
              </w:rPr>
              <w:t xml:space="preserve">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left="25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213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highlight w:val="white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gridSpan w:val="2"/>
            <w:tcW w:w="6487" w:type="dxa"/>
            <w:vMerge w:val="restart"/>
            <w:textDirection w:val="lrTb"/>
            <w:noWrap w:val="false"/>
          </w:tcPr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акт пред. ремонтного обследования объекта;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ведомость планируемых ремонтно-строительных работ;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акт готовности объекта к производству ремонтных работ;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акт приёмки из ремонта объекта;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 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акт освидетельствования скрытых работ;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исполнительные чертежи, схемы;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сертификаты, подтверждающие качество и соответствие требованиям нормативно-технической документации материалов (форма завода – изготовителя);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  <w:p>
            <w:pPr>
              <w:pStyle w:val="1078"/>
              <w:numPr>
                <w:ilvl w:val="0"/>
                <w:numId w:val="50"/>
              </w:numPr>
              <w:ind w:left="27" w:right="0" w:firstLine="398"/>
              <w:jc w:val="both"/>
              <w:spacing w:line="271" w:lineRule="auto"/>
              <w:rPr>
                <w:iCs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общий журнал работ формы КС-6, специальные журналы работ (соответствующие видам выполняемых работ).</w:t>
            </w:r>
            <w:r>
              <w:rPr>
                <w:iCs/>
                <w:highlight w:val="white"/>
              </w:rPr>
            </w:r>
            <w:r>
              <w:rPr>
                <w:iCs/>
                <w:highlight w:val="white"/>
              </w:rPr>
            </w:r>
          </w:p>
        </w:tc>
        <w:tc>
          <w:tcPr>
            <w:gridSpan w:val="2"/>
            <w:tcW w:w="3398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spacing w:before="4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</w:t>
            </w:r>
            <w:r>
              <w:rPr>
                <w:b/>
                <w:sz w:val="24"/>
                <w:szCs w:val="24"/>
              </w:rPr>
              <w:t xml:space="preserve">ТТ</w:t>
            </w:r>
            <w:r>
              <w:rPr>
                <w:b/>
                <w:sz w:val="24"/>
                <w:szCs w:val="24"/>
              </w:rPr>
              <w:t xml:space="preserve">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before="40"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i/>
                <w:iCs/>
                <w:sz w:val="24"/>
                <w:szCs w:val="24"/>
              </w:rPr>
              <w:t xml:space="preserve">одробно указаны в проекте Договора подряда </w:t>
            </w:r>
            <w:r>
              <w:rPr>
                <w:i/>
                <w:iCs/>
                <w:sz w:val="24"/>
                <w:szCs w:val="24"/>
              </w:rPr>
              <w:t xml:space="preserve">в том числе в разделе №2, Техническом задании), который включен в состав Документации о закупке.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jc w:val="both"/>
              <w:spacing w:before="20" w:line="276" w:lineRule="auto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20"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eastAsia="Courier New"/>
                <w:i/>
                <w:color w:val="000000" w:themeColor="text1"/>
                <w:sz w:val="24"/>
                <w:szCs w:val="24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 w:themeColor="text1"/>
                <w:sz w:val="24"/>
                <w:szCs w:val="24"/>
                <w:lang w:bidi="ru-RU"/>
              </w:rPr>
              <w:t xml:space="preserve">(в том числе в разделе №7</w:t>
            </w:r>
            <w:r>
              <w:rPr>
                <w:rFonts w:eastAsia="Courier New"/>
                <w:i/>
                <w:color w:val="000000" w:themeColor="text1"/>
                <w:sz w:val="24"/>
                <w:szCs w:val="24"/>
                <w:lang w:bidi="ru-RU"/>
              </w:rPr>
              <w:t xml:space="preserve">), который включен в состав Документации о закупке, ответственность сторон указаны в проекте договора подряда (раздел № 6).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textDirection w:val="lrTb"/>
            <w:noWrap w:val="false"/>
          </w:tcPr>
          <w:p>
            <w:pPr>
              <w:keepNext/>
              <w:spacing w:before="60" w:after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 </w:t>
            </w:r>
            <w:r>
              <w:rPr>
                <w:sz w:val="24"/>
                <w:szCs w:val="24"/>
              </w:rPr>
              <w:t xml:space="preserve">подробно указаны в проекте Д</w:t>
            </w:r>
            <w:r>
              <w:rPr>
                <w:sz w:val="24"/>
                <w:szCs w:val="24"/>
              </w:rPr>
              <w:t xml:space="preserve">оговора подряда (в том числе в разделе № 2),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78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58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left="360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tcW w:w="14426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5 (пяти)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 рабочих дней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 размещения протокола подведения итогов закупки на сайте </w:t>
            </w:r>
            <w:hyperlink r:id="rId11" w:tooltip="http://www.zakupki.gov.ru" w:history="1">
              <w:r>
                <w:rPr>
                  <w:rStyle w:val="1066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электронный адрес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Afonina-YV@dgk.ru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документы.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left="360" w:firstLine="0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618" w:type="dxa"/>
            <w:vMerge w:val="restart"/>
            <w:textDirection w:val="lrTb"/>
            <w:noWrap w:val="false"/>
          </w:tcPr>
          <w:p>
            <w:pPr>
              <w:pStyle w:val="1088"/>
              <w:ind w:left="0" w:right="0" w:firstLine="0"/>
              <w:jc w:val="left"/>
              <w:spacing w:before="0" w:line="276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Победитель  должен иметь в наличии: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1088"/>
              <w:ind w:left="0" w:right="0" w:firstLine="0"/>
              <w:jc w:val="left"/>
              <w:spacing w:before="0" w:line="276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left="0" w:right="141" w:firstLine="0"/>
              <w:jc w:val="left"/>
              <w:spacing w:before="0" w:after="0" w:line="276" w:lineRule="auto"/>
              <w:widowControl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1)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ru-RU"/>
              </w:rPr>
              <w:t xml:space="preserve">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 у 3-х человек (руководитель, производитель работ и всех членов бригады) документы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проверки знаний требований охраны труда.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78"/>
              <w:ind w:left="0"/>
              <w:spacing w:line="276" w:lineRule="auto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gridSpan w:val="3"/>
            <w:tcW w:w="5808" w:type="dxa"/>
            <w:vMerge w:val="restart"/>
            <w:textDirection w:val="lrTb"/>
            <w:noWrap w:val="false"/>
          </w:tcPr>
          <w:p>
            <w:pPr>
              <w:ind w:left="142" w:right="141" w:firstLine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Победитель должен предоставить: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left="0" w:right="64" w:firstLine="567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  предоставить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64" w:firstLine="567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опию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, которые будут непосредственно на объектах выполнять работы по Наряду-допуску.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spacing w:after="160" w:line="259" w:lineRule="auto"/>
        <w:sectPr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/>
      <w:r/>
    </w:p>
    <w:p>
      <w:pPr>
        <w:pStyle w:val="879"/>
        <w:ind w:left="0" w:right="0" w:firstLine="992"/>
        <w:jc w:val="center"/>
        <w:keepLines/>
        <w:spacing w:line="276" w:lineRule="auto"/>
        <w:tabs>
          <w:tab w:val="left" w:pos="425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4" w:name="_Toc53393312"/>
      <w:r>
        <w:rPr>
          <w:sz w:val="24"/>
          <w:szCs w:val="24"/>
        </w:rPr>
      </w:r>
      <w:bookmarkStart w:id="25" w:name="_Toc54646411"/>
      <w:r>
        <w:rPr>
          <w:sz w:val="24"/>
          <w:szCs w:val="24"/>
        </w:rPr>
      </w:r>
      <w:bookmarkStart w:id="26" w:name="_Toc46743519"/>
      <w:r>
        <w:rPr>
          <w:sz w:val="24"/>
          <w:szCs w:val="24"/>
        </w:rPr>
      </w:r>
      <w:bookmarkStart w:id="27" w:name="_Toc51339699"/>
      <w:r>
        <w:rPr>
          <w:sz w:val="24"/>
          <w:szCs w:val="24"/>
        </w:rPr>
        <w:t xml:space="preserve">Требования к документации по ценообразованию</w:t>
      </w:r>
      <w:bookmarkEnd w:id="24"/>
      <w:r>
        <w:rPr>
          <w:sz w:val="24"/>
          <w:szCs w:val="24"/>
        </w:rPr>
        <w:t xml:space="preserve"> на этапе закупки</w:t>
      </w:r>
      <w:bookmarkEnd w:id="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left="0" w:firstLine="992"/>
        <w:jc w:val="both"/>
        <w:spacing w:line="271" w:lineRule="auto"/>
        <w:tabs>
          <w:tab w:val="left" w:pos="425" w:leader="none"/>
        </w:tabs>
        <w:rPr>
          <w:b w:val="0"/>
          <w:bCs w:val="0"/>
          <w:iCs/>
        </w:rPr>
      </w:pPr>
      <w:r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</w:t>
      </w:r>
      <w:bookmarkStart w:id="0" w:name="undefined"/>
      <w:r/>
      <w:bookmarkEnd w:id="0"/>
      <w:r>
        <w:rPr>
          <w:b w:val="0"/>
          <w:bCs w:val="0"/>
          <w:iCs/>
        </w:rPr>
        <w:t xml:space="preserve">, приведенной в Документации о закупке (с указанием понижающего коэффициента).</w:t>
      </w:r>
      <w:r>
        <w:rPr>
          <w:b w:val="0"/>
          <w:bCs w:val="0"/>
          <w:iCs/>
        </w:rPr>
      </w:r>
      <w:r>
        <w:rPr>
          <w:b w:val="0"/>
          <w:bCs w:val="0"/>
          <w:iCs/>
        </w:rPr>
      </w:r>
    </w:p>
    <w:p>
      <w:pPr>
        <w:pStyle w:val="1078"/>
        <w:ind w:left="0" w:firstLine="708"/>
        <w:jc w:val="both"/>
        <w:spacing w:line="271" w:lineRule="auto"/>
        <w:shd w:val="clear" w:color="auto" w:fill="ffffff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1078"/>
        <w:ind w:left="0"/>
        <w:jc w:val="center"/>
        <w:spacing w:line="271" w:lineRule="auto"/>
        <w:shd w:val="clear" w:color="auto" w:fill="ffffff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P=N*k,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1078"/>
        <w:ind w:left="0"/>
        <w:jc w:val="both"/>
        <w:spacing w:line="271" w:lineRule="auto"/>
        <w:shd w:val="clear" w:color="auto" w:fill="ffffff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где P – стоимость предложения участника;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1078"/>
        <w:ind w:left="0"/>
        <w:jc w:val="both"/>
        <w:spacing w:line="271" w:lineRule="auto"/>
        <w:shd w:val="clear" w:color="auto" w:fill="ffffff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№ 2 к ТТ;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spacing w:line="271" w:lineRule="auto"/>
        <w:rPr>
          <w:highlight w:val="white"/>
        </w:rPr>
      </w:pPr>
      <w:r>
        <w:rPr>
          <w:iCs/>
          <w:sz w:val="24"/>
          <w:szCs w:val="24"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highlight w:val="white"/>
        </w:rPr>
      </w:r>
      <w:r>
        <w:rPr>
          <w:highlight w:val="white"/>
        </w:rPr>
      </w:r>
    </w:p>
    <w:p>
      <w:pPr>
        <w:pStyle w:val="882"/>
        <w:ind w:left="0" w:right="0" w:firstLine="992"/>
        <w:jc w:val="both"/>
        <w:spacing w:line="271" w:lineRule="auto"/>
        <w:tabs>
          <w:tab w:val="left" w:pos="425" w:leader="none"/>
        </w:tabs>
        <w:rPr>
          <w:b w:val="0"/>
          <w:iCs/>
          <w:sz w:val="24"/>
          <w:szCs w:val="24"/>
        </w:rPr>
      </w:pPr>
      <w:r>
        <w:rPr>
          <w:b w:val="0"/>
          <w:iCs/>
        </w:rPr>
        <w:t xml:space="preserve">Дополнительные документы по ценообразованию (сметная документация) в состав заявки Участника не включаются».</w:t>
      </w: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</w:p>
    <w:p>
      <w:pPr>
        <w:pStyle w:val="879"/>
        <w:numPr>
          <w:ilvl w:val="0"/>
          <w:numId w:val="0"/>
        </w:numPr>
        <w:ind w:left="0" w:right="0" w:firstLine="992"/>
        <w:keepLines/>
        <w:spacing w:line="276" w:lineRule="auto"/>
        <w:tabs>
          <w:tab w:val="left" w:pos="425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879"/>
        <w:ind w:left="0" w:right="0" w:firstLine="709"/>
        <w:jc w:val="center"/>
        <w:rPr>
          <w:highlight w:val="white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bookmarkEnd w:id="0"/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 w:firstLine="708"/>
        <w:jc w:val="both"/>
        <w:spacing w:line="276" w:lineRule="auto"/>
        <w:shd w:val="clear" w:color="auto" w:fill="ffffff"/>
        <w:rPr>
          <w:iCs/>
          <w:highlight w:val="white"/>
        </w:rPr>
      </w:pPr>
      <w:r>
        <w:rPr>
          <w:iCs/>
          <w:highlight w:val="white"/>
        </w:rPr>
        <w:t xml:space="preserve">4.1.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ТТ, и включается в сост</w:t>
      </w:r>
      <w:r>
        <w:rPr>
          <w:iCs/>
          <w:highlight w:val="white"/>
        </w:rPr>
        <w:t xml:space="preserve">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локальном сметном расчёте единым индексом в итогах после начисления лимитированных затрат.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bCs/>
          <w:highlight w:val="white"/>
        </w:rPr>
      </w:pPr>
      <w:r>
        <w:rPr>
          <w:bCs/>
          <w:highlight w:val="white"/>
        </w:rPr>
        <w:tab/>
      </w:r>
      <w:r>
        <w:rPr>
          <w:bCs/>
          <w:highlight w:val="white"/>
        </w:rPr>
        <w:t xml:space="preserve"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bCs/>
          <w:highlight w:val="white"/>
        </w:rPr>
        <w:tab/>
      </w:r>
      <w:r>
        <w:rPr>
          <w:bCs/>
          <w:highlight w:val="white"/>
        </w:rPr>
        <w:t xml:space="preserve">4.1.3 В сметной документации предусмотрен резерв средств на непредвиденные работы и затраты в размере 2.918 </w:t>
      </w:r>
      <w:r>
        <w:rPr>
          <w:highlight w:val="white"/>
        </w:rPr>
        <w:t xml:space="preserve">%.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b/>
          <w:highlight w:val="white"/>
        </w:rPr>
        <w:tab/>
      </w:r>
      <w:r>
        <w:rPr>
          <w:b/>
          <w:highlight w:val="white"/>
        </w:rPr>
        <w:t xml:space="preserve">4.2.</w:t>
      </w:r>
      <w:r>
        <w:rPr>
          <w:highlight w:val="white"/>
        </w:rPr>
        <w:t xml:space="preserve">   Требования к составлению сметной документации (на этапе исполнения договора):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 xml:space="preserve">4.2.1. В случае возникновения непредвиденных расходов в рамках реализации дог</w:t>
      </w:r>
      <w:r>
        <w:rPr>
          <w:highlight w:val="white"/>
        </w:rPr>
        <w:t xml:space="preserve">о</w:t>
      </w:r>
      <w:r>
        <w:rPr>
          <w:highlight w:val="white"/>
        </w:rPr>
        <w:t xml:space="preserve">вора необходимо составлять и оформлять сметную документацию в обоснование данных затрат в соответствии с требованиями, указанными в приложении № 1 к ТТ, с применением понижающего коэффициента, определенного по результатам конкурентной процедуры. (п.4.1.1).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highlight w:val="white"/>
        </w:rPr>
        <w:tab/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 xml:space="preserve">4.2.2. </w:t>
      </w:r>
      <w:r>
        <w:rPr>
          <w:highlight w:val="white"/>
        </w:rPr>
        <w:t xml:space="preserve">Материалы, приобретаемые Подрядчиком в рамках непредвиденных расходов, подлежат оплате на основании платёжных документов (счет-фактура, накладная, платежное поручение банка и др.) по нормативному расходу. Материалы, учтённые в расценках по сборникам Ф</w:t>
      </w:r>
      <w:r>
        <w:rPr>
          <w:highlight w:val="white"/>
        </w:rPr>
        <w:t xml:space="preserve">ССЦ, подтверждать платёжными документами не требуется. Поставляемые материалы должны соответствовать спецификациям, указанным в нормативной документации, иметь соответствующие сертификаты, технические паспорта и другие документы, подтверждающие их качество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hd w:val="clear" w:color="auto" w:fill="ffffff"/>
        <w:tabs>
          <w:tab w:val="left" w:pos="709" w:leader="none"/>
        </w:tabs>
        <w:rPr>
          <w:highlight w:val="white"/>
        </w:rPr>
      </w:pPr>
      <w:r>
        <w:rPr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78"/>
        <w:ind w:left="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8"/>
        <w:ind w:left="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8"/>
        <w:ind w:left="0"/>
        <w:jc w:val="center"/>
        <w:shd w:val="clear" w:color="auto" w:fill="ffffff"/>
        <w:tabs>
          <w:tab w:val="left" w:pos="709" w:leader="none"/>
        </w:tabs>
        <w:rPr>
          <w:b/>
          <w:bCs/>
          <w:highlight w:val="none"/>
        </w:rPr>
      </w:pPr>
      <w:r>
        <w:rPr>
          <w:b/>
          <w:bCs/>
          <w:highlight w:val="white"/>
        </w:rPr>
      </w:r>
      <w:r>
        <w:rPr>
          <w:b/>
          <w:bCs/>
          <w:iCs/>
          <w:sz w:val="24"/>
          <w:szCs w:val="24"/>
        </w:rPr>
        <w:t xml:space="preserve">5. Приложения</w:t>
      </w:r>
      <w:bookmarkEnd w:id="26"/>
      <w:r>
        <w:rPr>
          <w:b/>
          <w:bCs/>
          <w:sz w:val="24"/>
          <w:szCs w:val="24"/>
        </w:rPr>
      </w:r>
      <w:bookmarkEnd w:id="27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1 - Требования</w:t>
      </w:r>
      <w:r>
        <w:rPr>
          <w:sz w:val="24"/>
        </w:rPr>
        <w:t xml:space="preserve"> к оформлению и составлению документации по ценообразованию;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78"/>
        <w:ind w:left="0"/>
        <w:jc w:val="both"/>
        <w:spacing w:line="360" w:lineRule="auto"/>
        <w:shd w:val="clear" w:color="auto" w:fill="ffffff"/>
        <w:rPr>
          <w:highlight w:val="none"/>
        </w:rPr>
      </w:pPr>
      <w:r>
        <w:t xml:space="preserve">Приложение № 2 – Локальный сметный расчет № 100-005-06-КР-26;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3 – Ведомость объемов работ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 w:line="276" w:lineRule="auto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 xml:space="preserve">4 – Ведомость материалов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 w:line="276" w:lineRule="auto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Приложение № 5 - </w:t>
      </w:r>
      <w:r>
        <w:rPr>
          <w:bCs/>
          <w:sz w:val="24"/>
          <w:szCs w:val="24"/>
        </w:rPr>
        <w:t xml:space="preserve">Локальные</w:t>
      </w:r>
      <w:r>
        <w:rPr>
          <w:bCs/>
          <w:sz w:val="24"/>
          <w:szCs w:val="24"/>
        </w:rPr>
        <w:t xml:space="preserve"> нормативные акты Заказчика</w:t>
      </w:r>
      <w:r>
        <w:rPr>
          <w:sz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680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(???????? ?????">
    <w:panose1 w:val="02020603050405020304"/>
  </w:font>
  <w:font w:name="Tahoma">
    <w:panose1 w:val="020B0604030504040204"/>
  </w:font>
  <w:font w:name="Calibri Light (Заголовки)">
    <w:panose1 w:val="020F050202020403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068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068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14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0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107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7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87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1"/>
      <w:isLgl w:val="false"/>
      <w:suff w:val="tab"/>
      <w:lvlText w:val="%1.%2.%3."/>
      <w:lvlJc w:val="left"/>
      <w:pPr>
        <w:ind w:left="135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87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3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9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56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1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1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76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3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5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7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9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1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3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5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7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9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1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15"/>
  </w:num>
  <w:num w:numId="13">
    <w:abstractNumId w:val="16"/>
  </w:num>
  <w:num w:numId="14">
    <w:abstractNumId w:val="8"/>
  </w:num>
  <w:num w:numId="15">
    <w:abstractNumId w:val="3"/>
  </w:num>
  <w:num w:numId="16">
    <w:abstractNumId w:val="13"/>
  </w:num>
  <w:num w:numId="17">
    <w:abstractNumId w:val="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9">
    <w:name w:val="Heading 1"/>
    <w:basedOn w:val="881"/>
    <w:next w:val="878"/>
    <w:link w:val="1072"/>
    <w:qFormat/>
    <w:pPr>
      <w:numPr>
        <w:ilvl w:val="0"/>
      </w:numPr>
      <w:outlineLvl w:val="0"/>
    </w:pPr>
    <w:rPr>
      <w:sz w:val="28"/>
      <w:szCs w:val="28"/>
    </w:rPr>
  </w:style>
  <w:style w:type="paragraph" w:styleId="880">
    <w:name w:val="Heading 2"/>
    <w:basedOn w:val="878"/>
    <w:next w:val="878"/>
    <w:link w:val="9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81">
    <w:name w:val="Heading 3"/>
    <w:basedOn w:val="878"/>
    <w:next w:val="878"/>
    <w:link w:val="1073"/>
    <w:qFormat/>
    <w:pPr>
      <w:numPr>
        <w:ilvl w:val="2"/>
        <w:numId w:val="1"/>
      </w:numPr>
      <w:ind w:left="1224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2">
    <w:name w:val="Heading 4"/>
    <w:basedOn w:val="881"/>
    <w:next w:val="878"/>
    <w:link w:val="1074"/>
    <w:qFormat/>
    <w:pPr>
      <w:numPr>
        <w:ilvl w:val="1"/>
      </w:numPr>
      <w:outlineLvl w:val="3"/>
    </w:pPr>
    <w:rPr>
      <w:bCs/>
    </w:rPr>
  </w:style>
  <w:style w:type="paragraph" w:styleId="883">
    <w:name w:val="Heading 5"/>
    <w:basedOn w:val="878"/>
    <w:next w:val="878"/>
    <w:link w:val="9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84">
    <w:name w:val="Heading 6"/>
    <w:basedOn w:val="878"/>
    <w:next w:val="878"/>
    <w:link w:val="9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878"/>
    <w:next w:val="878"/>
    <w:link w:val="9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86">
    <w:name w:val="Heading 8"/>
    <w:basedOn w:val="878"/>
    <w:next w:val="878"/>
    <w:link w:val="9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878"/>
    <w:next w:val="878"/>
    <w:link w:val="9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 w:default="1">
    <w:name w:val="Default Paragraph Font"/>
    <w:uiPriority w:val="1"/>
    <w:semiHidden/>
    <w:unhideWhenUsed/>
  </w:style>
  <w:style w:type="table" w:styleId="8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0" w:default="1">
    <w:name w:val="No List"/>
    <w:uiPriority w:val="99"/>
    <w:semiHidden/>
    <w:unhideWhenUsed/>
  </w:style>
  <w:style w:type="character" w:styleId="891" w:customStyle="1">
    <w:name w:val="Heading 2 Char"/>
    <w:basedOn w:val="888"/>
    <w:uiPriority w:val="9"/>
    <w:rPr>
      <w:rFonts w:ascii="Arial" w:hAnsi="Arial" w:eastAsia="Arial" w:cs="Arial"/>
      <w:sz w:val="34"/>
    </w:rPr>
  </w:style>
  <w:style w:type="character" w:styleId="892" w:customStyle="1">
    <w:name w:val="Heading 5 Char"/>
    <w:basedOn w:val="888"/>
    <w:uiPriority w:val="9"/>
    <w:rPr>
      <w:rFonts w:ascii="Arial" w:hAnsi="Arial" w:eastAsia="Arial" w:cs="Arial"/>
      <w:b/>
      <w:bCs/>
      <w:sz w:val="24"/>
      <w:szCs w:val="24"/>
    </w:rPr>
  </w:style>
  <w:style w:type="character" w:styleId="893" w:customStyle="1">
    <w:name w:val="Heading 6 Char"/>
    <w:basedOn w:val="888"/>
    <w:uiPriority w:val="9"/>
    <w:rPr>
      <w:rFonts w:ascii="Arial" w:hAnsi="Arial" w:eastAsia="Arial" w:cs="Arial"/>
      <w:b/>
      <w:bCs/>
      <w:sz w:val="22"/>
      <w:szCs w:val="22"/>
    </w:rPr>
  </w:style>
  <w:style w:type="character" w:styleId="894" w:customStyle="1">
    <w:name w:val="Heading 7 Char"/>
    <w:basedOn w:val="8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5" w:customStyle="1">
    <w:name w:val="Heading 8 Char"/>
    <w:basedOn w:val="888"/>
    <w:uiPriority w:val="9"/>
    <w:rPr>
      <w:rFonts w:ascii="Arial" w:hAnsi="Arial" w:eastAsia="Arial" w:cs="Arial"/>
      <w:i/>
      <w:iCs/>
      <w:sz w:val="22"/>
      <w:szCs w:val="22"/>
    </w:rPr>
  </w:style>
  <w:style w:type="character" w:styleId="896" w:customStyle="1">
    <w:name w:val="Heading 9 Char"/>
    <w:basedOn w:val="888"/>
    <w:uiPriority w:val="9"/>
    <w:rPr>
      <w:rFonts w:ascii="Arial" w:hAnsi="Arial" w:eastAsia="Arial" w:cs="Arial"/>
      <w:i/>
      <w:iCs/>
      <w:sz w:val="21"/>
      <w:szCs w:val="21"/>
    </w:rPr>
  </w:style>
  <w:style w:type="character" w:styleId="897" w:customStyle="1">
    <w:name w:val="Title Char"/>
    <w:basedOn w:val="888"/>
    <w:uiPriority w:val="10"/>
    <w:rPr>
      <w:sz w:val="48"/>
      <w:szCs w:val="48"/>
    </w:rPr>
  </w:style>
  <w:style w:type="character" w:styleId="898" w:customStyle="1">
    <w:name w:val="Subtitle Char"/>
    <w:basedOn w:val="888"/>
    <w:uiPriority w:val="11"/>
    <w:rPr>
      <w:sz w:val="24"/>
      <w:szCs w:val="24"/>
    </w:rPr>
  </w:style>
  <w:style w:type="character" w:styleId="899" w:customStyle="1">
    <w:name w:val="Quote Char"/>
    <w:uiPriority w:val="29"/>
    <w:rPr>
      <w:i/>
    </w:rPr>
  </w:style>
  <w:style w:type="character" w:styleId="900" w:customStyle="1">
    <w:name w:val="Intense Quote Char"/>
    <w:uiPriority w:val="30"/>
    <w:rPr>
      <w:i/>
    </w:rPr>
  </w:style>
  <w:style w:type="character" w:styleId="901" w:customStyle="1">
    <w:name w:val="Footnote Text Char"/>
    <w:uiPriority w:val="99"/>
    <w:rPr>
      <w:sz w:val="18"/>
    </w:rPr>
  </w:style>
  <w:style w:type="character" w:styleId="902" w:customStyle="1">
    <w:name w:val="Endnote Text Char"/>
    <w:uiPriority w:val="99"/>
    <w:rPr>
      <w:sz w:val="20"/>
    </w:rPr>
  </w:style>
  <w:style w:type="character" w:styleId="903" w:customStyle="1">
    <w:name w:val="Heading 1 Char"/>
    <w:basedOn w:val="888"/>
    <w:uiPriority w:val="9"/>
    <w:rPr>
      <w:rFonts w:ascii="Arial" w:hAnsi="Arial" w:eastAsia="Arial" w:cs="Arial"/>
      <w:sz w:val="40"/>
      <w:szCs w:val="40"/>
    </w:rPr>
  </w:style>
  <w:style w:type="character" w:styleId="904" w:customStyle="1">
    <w:name w:val="Заголовок 2 Знак"/>
    <w:basedOn w:val="888"/>
    <w:link w:val="880"/>
    <w:uiPriority w:val="9"/>
    <w:rPr>
      <w:rFonts w:ascii="Arial" w:hAnsi="Arial" w:eastAsia="Arial" w:cs="Arial"/>
      <w:sz w:val="34"/>
    </w:rPr>
  </w:style>
  <w:style w:type="character" w:styleId="905" w:customStyle="1">
    <w:name w:val="Heading 3 Char"/>
    <w:basedOn w:val="888"/>
    <w:uiPriority w:val="9"/>
    <w:rPr>
      <w:rFonts w:ascii="Arial" w:hAnsi="Arial" w:eastAsia="Arial" w:cs="Arial"/>
      <w:sz w:val="30"/>
      <w:szCs w:val="30"/>
    </w:rPr>
  </w:style>
  <w:style w:type="character" w:styleId="906" w:customStyle="1">
    <w:name w:val="Heading 4 Char"/>
    <w:basedOn w:val="888"/>
    <w:uiPriority w:val="9"/>
    <w:rPr>
      <w:rFonts w:ascii="Arial" w:hAnsi="Arial" w:eastAsia="Arial" w:cs="Arial"/>
      <w:b/>
      <w:bCs/>
      <w:sz w:val="26"/>
      <w:szCs w:val="26"/>
    </w:rPr>
  </w:style>
  <w:style w:type="character" w:styleId="907" w:customStyle="1">
    <w:name w:val="Заголовок 5 Знак"/>
    <w:basedOn w:val="888"/>
    <w:link w:val="883"/>
    <w:uiPriority w:val="9"/>
    <w:rPr>
      <w:rFonts w:ascii="Arial" w:hAnsi="Arial" w:eastAsia="Arial" w:cs="Arial"/>
      <w:b/>
      <w:bCs/>
      <w:sz w:val="24"/>
      <w:szCs w:val="24"/>
    </w:rPr>
  </w:style>
  <w:style w:type="character" w:styleId="908" w:customStyle="1">
    <w:name w:val="Заголовок 6 Знак"/>
    <w:basedOn w:val="888"/>
    <w:link w:val="884"/>
    <w:uiPriority w:val="9"/>
    <w:rPr>
      <w:rFonts w:ascii="Arial" w:hAnsi="Arial" w:eastAsia="Arial" w:cs="Arial"/>
      <w:b/>
      <w:bCs/>
      <w:sz w:val="22"/>
      <w:szCs w:val="22"/>
    </w:rPr>
  </w:style>
  <w:style w:type="character" w:styleId="909" w:customStyle="1">
    <w:name w:val="Заголовок 7 Знак"/>
    <w:basedOn w:val="888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0" w:customStyle="1">
    <w:name w:val="Заголовок 8 Знак"/>
    <w:basedOn w:val="888"/>
    <w:link w:val="886"/>
    <w:uiPriority w:val="9"/>
    <w:rPr>
      <w:rFonts w:ascii="Arial" w:hAnsi="Arial" w:eastAsia="Arial" w:cs="Arial"/>
      <w:i/>
      <w:iCs/>
      <w:sz w:val="22"/>
      <w:szCs w:val="22"/>
    </w:rPr>
  </w:style>
  <w:style w:type="character" w:styleId="911" w:customStyle="1">
    <w:name w:val="Заголовок 9 Знак"/>
    <w:basedOn w:val="888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912">
    <w:name w:val="No Spacing"/>
    <w:uiPriority w:val="1"/>
    <w:qFormat/>
    <w:pPr>
      <w:spacing w:after="0" w:line="240" w:lineRule="auto"/>
    </w:pPr>
  </w:style>
  <w:style w:type="paragraph" w:styleId="913">
    <w:name w:val="Title"/>
    <w:basedOn w:val="878"/>
    <w:next w:val="878"/>
    <w:link w:val="9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14" w:customStyle="1">
    <w:name w:val="Название Знак"/>
    <w:basedOn w:val="888"/>
    <w:link w:val="913"/>
    <w:uiPriority w:val="10"/>
    <w:rPr>
      <w:sz w:val="48"/>
      <w:szCs w:val="48"/>
    </w:rPr>
  </w:style>
  <w:style w:type="paragraph" w:styleId="915">
    <w:name w:val="Subtitle"/>
    <w:basedOn w:val="878"/>
    <w:next w:val="878"/>
    <w:link w:val="916"/>
    <w:uiPriority w:val="11"/>
    <w:qFormat/>
    <w:pPr>
      <w:spacing w:before="200" w:after="200"/>
    </w:pPr>
    <w:rPr>
      <w:sz w:val="24"/>
      <w:szCs w:val="24"/>
    </w:rPr>
  </w:style>
  <w:style w:type="character" w:styleId="916" w:customStyle="1">
    <w:name w:val="Подзаголовок Знак"/>
    <w:basedOn w:val="888"/>
    <w:link w:val="915"/>
    <w:uiPriority w:val="11"/>
    <w:rPr>
      <w:sz w:val="24"/>
      <w:szCs w:val="24"/>
    </w:rPr>
  </w:style>
  <w:style w:type="paragraph" w:styleId="917">
    <w:name w:val="Quote"/>
    <w:basedOn w:val="878"/>
    <w:next w:val="878"/>
    <w:link w:val="918"/>
    <w:uiPriority w:val="29"/>
    <w:qFormat/>
    <w:pPr>
      <w:ind w:left="720" w:right="720"/>
    </w:pPr>
    <w:rPr>
      <w:i/>
    </w:rPr>
  </w:style>
  <w:style w:type="character" w:styleId="918" w:customStyle="1">
    <w:name w:val="Цитата 2 Знак"/>
    <w:link w:val="917"/>
    <w:uiPriority w:val="29"/>
    <w:rPr>
      <w:i/>
    </w:rPr>
  </w:style>
  <w:style w:type="paragraph" w:styleId="919">
    <w:name w:val="Intense Quote"/>
    <w:basedOn w:val="878"/>
    <w:next w:val="878"/>
    <w:link w:val="9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0" w:customStyle="1">
    <w:name w:val="Выделенная цитата Знак"/>
    <w:link w:val="919"/>
    <w:uiPriority w:val="30"/>
    <w:rPr>
      <w:i/>
    </w:rPr>
  </w:style>
  <w:style w:type="character" w:styleId="921" w:customStyle="1">
    <w:name w:val="Header Char"/>
    <w:basedOn w:val="888"/>
    <w:uiPriority w:val="99"/>
  </w:style>
  <w:style w:type="character" w:styleId="922" w:customStyle="1">
    <w:name w:val="Footer Char"/>
    <w:basedOn w:val="888"/>
    <w:uiPriority w:val="99"/>
  </w:style>
  <w:style w:type="paragraph" w:styleId="923">
    <w:name w:val="Caption"/>
    <w:basedOn w:val="878"/>
    <w:next w:val="878"/>
    <w:link w:val="92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24" w:customStyle="1">
    <w:name w:val="Caption Char"/>
    <w:uiPriority w:val="99"/>
  </w:style>
  <w:style w:type="table" w:styleId="925" w:customStyle="1">
    <w:name w:val="Table Grid Light"/>
    <w:basedOn w:val="8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6" w:customStyle="1">
    <w:name w:val="Plain Table 1"/>
    <w:basedOn w:val="8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 w:customStyle="1">
    <w:name w:val="Plain Table 2"/>
    <w:basedOn w:val="88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8" w:customStyle="1">
    <w:name w:val="Plain Table 3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9" w:customStyle="1">
    <w:name w:val="Plain Table 4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Plain Table 5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1 Light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Grid Table 1 Light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Grid Table 1 Light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Grid Table 1 Light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Grid Table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2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2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2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3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3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3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4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 w:customStyle="1">
    <w:name w:val="Grid Table 4 - Accent 1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54" w:customStyle="1">
    <w:name w:val="Grid Table 4 - Accent 2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55" w:customStyle="1">
    <w:name w:val="Grid Table 4 - Accent 3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56" w:customStyle="1">
    <w:name w:val="Grid Table 4 - Accent 4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57" w:customStyle="1">
    <w:name w:val="Grid Table 4 - Accent 5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58" w:customStyle="1">
    <w:name w:val="Grid Table 4 - Accent 6"/>
    <w:basedOn w:val="8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59" w:customStyle="1">
    <w:name w:val="Grid Table 5 Dark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63" w:customStyle="1">
    <w:name w:val="Grid Table 5 Dark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64" w:customStyle="1">
    <w:name w:val="Grid Table 5 Dark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65" w:customStyle="1">
    <w:name w:val="Grid Table 5 Dark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66" w:customStyle="1">
    <w:name w:val="Grid Table 6 Colorful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7" w:customStyle="1">
    <w:name w:val="Grid Table 6 Colorful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68" w:customStyle="1">
    <w:name w:val="Grid Table 6 Colorful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69" w:customStyle="1">
    <w:name w:val="Grid Table 6 Colorful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70" w:customStyle="1">
    <w:name w:val="Grid Table 6 Colorful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71" w:customStyle="1">
    <w:name w:val="Grid Table 6 Colorful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72" w:customStyle="1">
    <w:name w:val="Grid Table 6 Colorful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73" w:customStyle="1">
    <w:name w:val="Grid Table 7 Colorful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7 Colorful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7 Colorful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Grid Table 7 Colorful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1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2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3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1 Light - Accent 4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1 Light - Accent 5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1 Light - Accent 6"/>
    <w:basedOn w:val="8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st Table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90" w:customStyle="1">
    <w:name w:val="List Table 2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91" w:customStyle="1">
    <w:name w:val="List Table 2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92" w:customStyle="1">
    <w:name w:val="List Table 2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93" w:customStyle="1">
    <w:name w:val="List Table 2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94" w:customStyle="1">
    <w:name w:val="List Table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3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3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3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4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4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List Table 4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List Table 5 Dark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List Table 5 Dark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2" w:customStyle="1">
    <w:name w:val="List Table 5 Dark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3" w:customStyle="1">
    <w:name w:val="List Table 5 Dark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4" w:customStyle="1">
    <w:name w:val="List Table 5 Dark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5" w:customStyle="1">
    <w:name w:val="List Table 6 Colorful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6" w:customStyle="1">
    <w:name w:val="List Table 6 Colorful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17" w:customStyle="1">
    <w:name w:val="List Table 6 Colorful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18" w:customStyle="1">
    <w:name w:val="List Table 6 Colorful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19" w:customStyle="1">
    <w:name w:val="List Table 6 Colorful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20" w:customStyle="1">
    <w:name w:val="List Table 6 Colorful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21" w:customStyle="1">
    <w:name w:val="List Table 6 Colorful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22" w:customStyle="1">
    <w:name w:val="List Table 7 Colorful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7 Colorful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7 Colorful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7 Colorful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ned - Accent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0" w:customStyle="1">
    <w:name w:val="Lined - Accent 1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31" w:customStyle="1">
    <w:name w:val="Lined - Accent 2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32" w:customStyle="1">
    <w:name w:val="Lined - Accent 3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33" w:customStyle="1">
    <w:name w:val="Lined - Accent 4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34" w:customStyle="1">
    <w:name w:val="Lined - Accent 5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35" w:customStyle="1">
    <w:name w:val="Lined - Accent 6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36" w:customStyle="1">
    <w:name w:val="Bordered &amp; Lined - Accent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7" w:customStyle="1">
    <w:name w:val="Bordered &amp; Lined - Accent 1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38" w:customStyle="1">
    <w:name w:val="Bordered &amp; Lined - Accent 2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39" w:customStyle="1">
    <w:name w:val="Bordered &amp; Lined - Accent 3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0" w:customStyle="1">
    <w:name w:val="Bordered &amp; Lined - Accent 4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41" w:customStyle="1">
    <w:name w:val="Bordered &amp; Lined - Accent 5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42" w:customStyle="1">
    <w:name w:val="Bordered &amp; Lined - Accent 6"/>
    <w:basedOn w:val="8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43" w:customStyle="1">
    <w:name w:val="Bordered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4" w:customStyle="1">
    <w:name w:val="Bordered - Accent 1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45" w:customStyle="1">
    <w:name w:val="Bordered - Accent 2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46" w:customStyle="1">
    <w:name w:val="Bordered - Accent 3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47" w:customStyle="1">
    <w:name w:val="Bordered - Accent 4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48" w:customStyle="1">
    <w:name w:val="Bordered - Accent 5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49" w:customStyle="1">
    <w:name w:val="Bordered - Accent 6"/>
    <w:basedOn w:val="8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050">
    <w:name w:val="footnote text"/>
    <w:basedOn w:val="878"/>
    <w:link w:val="1051"/>
    <w:uiPriority w:val="99"/>
    <w:semiHidden/>
    <w:unhideWhenUsed/>
    <w:pPr>
      <w:spacing w:after="40"/>
    </w:pPr>
    <w:rPr>
      <w:sz w:val="18"/>
    </w:rPr>
  </w:style>
  <w:style w:type="character" w:styleId="1051" w:customStyle="1">
    <w:name w:val="Текст сноски Знак"/>
    <w:link w:val="1050"/>
    <w:uiPriority w:val="99"/>
    <w:rPr>
      <w:sz w:val="18"/>
    </w:rPr>
  </w:style>
  <w:style w:type="character" w:styleId="1052">
    <w:name w:val="footnote reference"/>
    <w:basedOn w:val="888"/>
    <w:uiPriority w:val="99"/>
    <w:unhideWhenUsed/>
    <w:rPr>
      <w:vertAlign w:val="superscript"/>
    </w:rPr>
  </w:style>
  <w:style w:type="paragraph" w:styleId="1053">
    <w:name w:val="endnote text"/>
    <w:basedOn w:val="878"/>
    <w:link w:val="1054"/>
    <w:uiPriority w:val="99"/>
    <w:semiHidden/>
    <w:unhideWhenUsed/>
    <w:rPr>
      <w:sz w:val="20"/>
    </w:rPr>
  </w:style>
  <w:style w:type="character" w:styleId="1054" w:customStyle="1">
    <w:name w:val="Текст концевой сноски Знак"/>
    <w:link w:val="1053"/>
    <w:uiPriority w:val="99"/>
    <w:rPr>
      <w:sz w:val="20"/>
    </w:rPr>
  </w:style>
  <w:style w:type="character" w:styleId="1055">
    <w:name w:val="endnote reference"/>
    <w:basedOn w:val="888"/>
    <w:uiPriority w:val="99"/>
    <w:semiHidden/>
    <w:unhideWhenUsed/>
    <w:rPr>
      <w:vertAlign w:val="superscript"/>
    </w:rPr>
  </w:style>
  <w:style w:type="paragraph" w:styleId="1056">
    <w:name w:val="toc 2"/>
    <w:basedOn w:val="878"/>
    <w:next w:val="878"/>
    <w:uiPriority w:val="39"/>
    <w:unhideWhenUsed/>
    <w:pPr>
      <w:ind w:left="283"/>
      <w:spacing w:after="57"/>
    </w:pPr>
  </w:style>
  <w:style w:type="paragraph" w:styleId="1057">
    <w:name w:val="toc 3"/>
    <w:basedOn w:val="878"/>
    <w:next w:val="878"/>
    <w:uiPriority w:val="39"/>
    <w:unhideWhenUsed/>
    <w:pPr>
      <w:ind w:left="567"/>
      <w:spacing w:after="57"/>
    </w:pPr>
  </w:style>
  <w:style w:type="paragraph" w:styleId="1058">
    <w:name w:val="toc 5"/>
    <w:basedOn w:val="878"/>
    <w:next w:val="878"/>
    <w:uiPriority w:val="39"/>
    <w:unhideWhenUsed/>
    <w:pPr>
      <w:ind w:left="1134"/>
      <w:spacing w:after="57"/>
    </w:pPr>
  </w:style>
  <w:style w:type="paragraph" w:styleId="1059">
    <w:name w:val="toc 6"/>
    <w:basedOn w:val="878"/>
    <w:next w:val="878"/>
    <w:uiPriority w:val="39"/>
    <w:unhideWhenUsed/>
    <w:pPr>
      <w:ind w:left="1417"/>
      <w:spacing w:after="57"/>
    </w:pPr>
  </w:style>
  <w:style w:type="paragraph" w:styleId="1060">
    <w:name w:val="toc 7"/>
    <w:basedOn w:val="878"/>
    <w:next w:val="878"/>
    <w:uiPriority w:val="39"/>
    <w:unhideWhenUsed/>
    <w:pPr>
      <w:ind w:left="1701"/>
      <w:spacing w:after="57"/>
    </w:pPr>
  </w:style>
  <w:style w:type="paragraph" w:styleId="1061">
    <w:name w:val="toc 8"/>
    <w:basedOn w:val="878"/>
    <w:next w:val="878"/>
    <w:uiPriority w:val="39"/>
    <w:unhideWhenUsed/>
    <w:pPr>
      <w:ind w:left="1984"/>
      <w:spacing w:after="57"/>
    </w:pPr>
  </w:style>
  <w:style w:type="paragraph" w:styleId="1062">
    <w:name w:val="toc 9"/>
    <w:basedOn w:val="878"/>
    <w:next w:val="878"/>
    <w:uiPriority w:val="39"/>
    <w:unhideWhenUsed/>
    <w:pPr>
      <w:ind w:left="2268"/>
      <w:spacing w:after="57"/>
    </w:pPr>
  </w:style>
  <w:style w:type="paragraph" w:styleId="1063">
    <w:name w:val="TOC Heading"/>
    <w:uiPriority w:val="39"/>
    <w:unhideWhenUsed/>
  </w:style>
  <w:style w:type="paragraph" w:styleId="1064">
    <w:name w:val="table of figures"/>
    <w:basedOn w:val="878"/>
    <w:next w:val="878"/>
    <w:uiPriority w:val="99"/>
    <w:unhideWhenUsed/>
  </w:style>
  <w:style w:type="paragraph" w:styleId="1065">
    <w:name w:val="toc 1"/>
    <w:basedOn w:val="878"/>
    <w:next w:val="87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066">
    <w:name w:val="Hyperlink"/>
    <w:uiPriority w:val="99"/>
    <w:rPr>
      <w:color w:val="0000ff"/>
      <w:u w:val="single"/>
    </w:rPr>
  </w:style>
  <w:style w:type="paragraph" w:styleId="1067">
    <w:name w:val="toc 4"/>
    <w:basedOn w:val="878"/>
    <w:next w:val="878"/>
    <w:uiPriority w:val="39"/>
    <w:pPr>
      <w:ind w:left="560"/>
    </w:pPr>
    <w:rPr>
      <w:rFonts w:cstheme="minorHAnsi"/>
      <w:sz w:val="20"/>
      <w:szCs w:val="20"/>
    </w:rPr>
  </w:style>
  <w:style w:type="paragraph" w:styleId="1068">
    <w:name w:val="Header"/>
    <w:basedOn w:val="878"/>
    <w:link w:val="10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69" w:customStyle="1">
    <w:name w:val="Верхний колонтитул Знак"/>
    <w:basedOn w:val="888"/>
    <w:link w:val="106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70">
    <w:name w:val="Footer"/>
    <w:basedOn w:val="878"/>
    <w:link w:val="10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71" w:customStyle="1">
    <w:name w:val="Нижний колонтитул Знак"/>
    <w:basedOn w:val="888"/>
    <w:link w:val="107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72" w:customStyle="1">
    <w:name w:val="Заголовок 1 Знак"/>
    <w:basedOn w:val="888"/>
    <w:link w:val="879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073" w:customStyle="1">
    <w:name w:val="Заголовок 3 Знак"/>
    <w:basedOn w:val="888"/>
    <w:link w:val="881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074" w:customStyle="1">
    <w:name w:val="Заголовок 4 Знак"/>
    <w:basedOn w:val="888"/>
    <w:link w:val="882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075" w:customStyle="1">
    <w:name w:val="комментарий"/>
    <w:rPr>
      <w:b/>
      <w:i/>
      <w:shd w:val="clear" w:color="auto" w:fill="ffff99"/>
    </w:rPr>
  </w:style>
  <w:style w:type="paragraph" w:styleId="1076" w:customStyle="1">
    <w:name w:val="Раздел положения"/>
    <w:basedOn w:val="878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077" w:customStyle="1">
    <w:name w:val="Подраздел раздела положения"/>
    <w:basedOn w:val="878"/>
    <w:pPr>
      <w:numPr>
        <w:ilvl w:val="1"/>
        <w:numId w:val="2"/>
      </w:numPr>
      <w:jc w:val="both"/>
      <w:spacing w:before="80" w:after="80"/>
    </w:pPr>
  </w:style>
  <w:style w:type="paragraph" w:styleId="1078">
    <w:name w:val="List Paragraph"/>
    <w:basedOn w:val="878"/>
    <w:link w:val="107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079" w:customStyle="1">
    <w:name w:val="Абзац списка Знак"/>
    <w:link w:val="1078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080" w:customStyle="1">
    <w:name w:val="Таблица шапка"/>
    <w:basedOn w:val="878"/>
    <w:pPr>
      <w:ind w:left="57" w:right="57"/>
      <w:keepNext/>
      <w:spacing w:before="40" w:after="40"/>
    </w:pPr>
    <w:rPr>
      <w:sz w:val="22"/>
      <w:szCs w:val="26"/>
    </w:rPr>
  </w:style>
  <w:style w:type="table" w:styleId="1081">
    <w:name w:val="Table Grid"/>
    <w:basedOn w:val="88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2" w:customStyle="1">
    <w:name w:val="Таблица"/>
    <w:basedOn w:val="87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83">
    <w:name w:val="annotation text"/>
    <w:basedOn w:val="878"/>
    <w:link w:val="1084"/>
    <w:semiHidden/>
    <w:rPr>
      <w:sz w:val="20"/>
      <w:szCs w:val="20"/>
    </w:rPr>
  </w:style>
  <w:style w:type="character" w:styleId="1084" w:customStyle="1">
    <w:name w:val="Текст примечания Знак"/>
    <w:basedOn w:val="888"/>
    <w:link w:val="1083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5">
    <w:name w:val="Balloon Text"/>
    <w:basedOn w:val="878"/>
    <w:link w:val="1086"/>
    <w:uiPriority w:val="99"/>
    <w:semiHidden/>
    <w:unhideWhenUsed/>
    <w:rPr>
      <w:rFonts w:ascii="Tahoma" w:hAnsi="Tahoma" w:cs="Tahoma"/>
      <w:sz w:val="16"/>
      <w:szCs w:val="16"/>
    </w:rPr>
  </w:style>
  <w:style w:type="character" w:styleId="1086" w:customStyle="1">
    <w:name w:val="Текст выноски Знак"/>
    <w:basedOn w:val="888"/>
    <w:link w:val="108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87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basedOn w:val="882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8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cp:keywords/>
  <dc:description/>
  <cp:lastModifiedBy>afonina_yv</cp:lastModifiedBy>
  <cp:revision>146</cp:revision>
  <dcterms:created xsi:type="dcterms:W3CDTF">2023-01-10T06:58:00Z</dcterms:created>
  <dcterms:modified xsi:type="dcterms:W3CDTF">2025-12-23T23:57:59Z</dcterms:modified>
</cp:coreProperties>
</file>